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8C5E" w14:textId="140E605A" w:rsidR="00505595" w:rsidRDefault="00505595" w:rsidP="00505595">
      <w:pPr>
        <w:jc w:val="center"/>
        <w:rPr>
          <w:b/>
          <w:sz w:val="28"/>
          <w:szCs w:val="32"/>
        </w:rPr>
      </w:pPr>
      <w:r>
        <w:rPr>
          <w:b/>
          <w:sz w:val="28"/>
          <w:szCs w:val="32"/>
        </w:rPr>
        <w:t>UNITAID/EGPAF Point-of-Care EID Project: Side-by-Side Analysis of POC EID Products</w:t>
      </w:r>
    </w:p>
    <w:p w14:paraId="5A4B430D" w14:textId="77777777" w:rsidR="00505595" w:rsidRDefault="00505595" w:rsidP="00505595">
      <w:pPr>
        <w:jc w:val="center"/>
        <w:rPr>
          <w:szCs w:val="28"/>
        </w:rPr>
      </w:pPr>
    </w:p>
    <w:p w14:paraId="15494AE1" w14:textId="6487CAD3" w:rsidR="00505595" w:rsidRDefault="00505595" w:rsidP="00505595">
      <w:pPr>
        <w:jc w:val="center"/>
        <w:rPr>
          <w:szCs w:val="28"/>
        </w:rPr>
      </w:pPr>
      <w:r>
        <w:rPr>
          <w:szCs w:val="28"/>
        </w:rPr>
        <w:t xml:space="preserve">Updated: </w:t>
      </w:r>
      <w:r w:rsidR="000F59E6">
        <w:rPr>
          <w:szCs w:val="28"/>
        </w:rPr>
        <w:t>3</w:t>
      </w:r>
      <w:r>
        <w:rPr>
          <w:szCs w:val="28"/>
        </w:rPr>
        <w:t xml:space="preserve"> </w:t>
      </w:r>
      <w:r w:rsidR="000F59E6">
        <w:rPr>
          <w:szCs w:val="28"/>
        </w:rPr>
        <w:t>March</w:t>
      </w:r>
      <w:r w:rsidR="00EC5545">
        <w:rPr>
          <w:szCs w:val="28"/>
        </w:rPr>
        <w:t xml:space="preserve"> 2017</w:t>
      </w:r>
    </w:p>
    <w:p w14:paraId="10B5610A" w14:textId="77777777" w:rsidR="00505595" w:rsidRDefault="00505595"/>
    <w:tbl>
      <w:tblPr>
        <w:tblStyle w:val="TableGrid"/>
        <w:tblW w:w="15030" w:type="dxa"/>
        <w:jc w:val="center"/>
        <w:tblLayout w:type="fixed"/>
        <w:tblLook w:val="04A0" w:firstRow="1" w:lastRow="0" w:firstColumn="1" w:lastColumn="0" w:noHBand="0" w:noVBand="1"/>
      </w:tblPr>
      <w:tblGrid>
        <w:gridCol w:w="1440"/>
        <w:gridCol w:w="4590"/>
        <w:gridCol w:w="4590"/>
        <w:gridCol w:w="4410"/>
      </w:tblGrid>
      <w:tr w:rsidR="00505595" w:rsidRPr="00B85C75" w14:paraId="429DF7FB" w14:textId="77777777" w:rsidTr="000B497A">
        <w:trPr>
          <w:trHeight w:val="458"/>
          <w:tblHeader/>
          <w:jc w:val="center"/>
        </w:trPr>
        <w:tc>
          <w:tcPr>
            <w:tcW w:w="1440" w:type="dxa"/>
            <w:shd w:val="clear" w:color="auto" w:fill="BDD6EE" w:themeFill="accent1" w:themeFillTint="66"/>
          </w:tcPr>
          <w:p w14:paraId="19586F96" w14:textId="77777777" w:rsidR="00505595" w:rsidRPr="00B85C75" w:rsidRDefault="00505595" w:rsidP="000B497A">
            <w:pPr>
              <w:jc w:val="center"/>
              <w:rPr>
                <w:b/>
                <w:sz w:val="18"/>
                <w:szCs w:val="18"/>
              </w:rPr>
            </w:pPr>
          </w:p>
        </w:tc>
        <w:tc>
          <w:tcPr>
            <w:tcW w:w="4590" w:type="dxa"/>
            <w:shd w:val="clear" w:color="auto" w:fill="BDD6EE" w:themeFill="accent1" w:themeFillTint="66"/>
          </w:tcPr>
          <w:p w14:paraId="70BD94BF" w14:textId="77777777" w:rsidR="00505595" w:rsidRDefault="00505595" w:rsidP="000B497A">
            <w:pPr>
              <w:jc w:val="center"/>
              <w:rPr>
                <w:b/>
                <w:sz w:val="18"/>
                <w:szCs w:val="18"/>
              </w:rPr>
            </w:pPr>
            <w:r w:rsidRPr="00B85C75">
              <w:rPr>
                <w:b/>
                <w:sz w:val="18"/>
                <w:szCs w:val="18"/>
              </w:rPr>
              <w:t>Cepheid GeneXpert</w:t>
            </w:r>
          </w:p>
          <w:p w14:paraId="340059A0" w14:textId="77777777" w:rsidR="00505595" w:rsidRPr="00B85C75" w:rsidRDefault="00505595" w:rsidP="000B497A">
            <w:pPr>
              <w:jc w:val="center"/>
              <w:rPr>
                <w:b/>
                <w:sz w:val="18"/>
                <w:szCs w:val="18"/>
              </w:rPr>
            </w:pPr>
            <w:r w:rsidRPr="00C06722">
              <w:rPr>
                <w:b/>
                <w:sz w:val="18"/>
                <w:szCs w:val="18"/>
              </w:rPr>
              <w:t>Xpert® HIV-1 Qual Assay (EID)</w:t>
            </w:r>
          </w:p>
        </w:tc>
        <w:tc>
          <w:tcPr>
            <w:tcW w:w="4590" w:type="dxa"/>
            <w:shd w:val="clear" w:color="auto" w:fill="BDD6EE" w:themeFill="accent1" w:themeFillTint="66"/>
          </w:tcPr>
          <w:p w14:paraId="0C7B1AE2" w14:textId="77777777" w:rsidR="00505595" w:rsidRDefault="00505595" w:rsidP="000B497A">
            <w:pPr>
              <w:jc w:val="center"/>
              <w:rPr>
                <w:b/>
                <w:sz w:val="18"/>
                <w:szCs w:val="18"/>
              </w:rPr>
            </w:pPr>
            <w:r w:rsidRPr="00B85C75">
              <w:rPr>
                <w:b/>
                <w:sz w:val="18"/>
                <w:szCs w:val="18"/>
              </w:rPr>
              <w:t>Alere Q</w:t>
            </w:r>
          </w:p>
          <w:p w14:paraId="69C2F5B7" w14:textId="77777777" w:rsidR="00505595" w:rsidRPr="00B85C75" w:rsidRDefault="00505595" w:rsidP="000B497A">
            <w:pPr>
              <w:jc w:val="center"/>
              <w:rPr>
                <w:b/>
                <w:sz w:val="18"/>
                <w:szCs w:val="18"/>
              </w:rPr>
            </w:pPr>
            <w:r w:rsidRPr="00707F73">
              <w:rPr>
                <w:b/>
                <w:sz w:val="18"/>
                <w:szCs w:val="18"/>
              </w:rPr>
              <w:t>HIV-1/2 Detect (EID)</w:t>
            </w:r>
          </w:p>
        </w:tc>
        <w:tc>
          <w:tcPr>
            <w:tcW w:w="4410" w:type="dxa"/>
            <w:shd w:val="clear" w:color="auto" w:fill="BDD6EE" w:themeFill="accent1" w:themeFillTint="66"/>
          </w:tcPr>
          <w:p w14:paraId="77594E5C" w14:textId="77777777" w:rsidR="00505595" w:rsidRDefault="00505595" w:rsidP="000B497A">
            <w:pPr>
              <w:jc w:val="center"/>
              <w:rPr>
                <w:b/>
                <w:sz w:val="18"/>
                <w:szCs w:val="18"/>
              </w:rPr>
            </w:pPr>
            <w:r w:rsidRPr="00B85C75">
              <w:rPr>
                <w:b/>
                <w:sz w:val="18"/>
                <w:szCs w:val="18"/>
              </w:rPr>
              <w:t>D</w:t>
            </w:r>
            <w:r>
              <w:rPr>
                <w:b/>
                <w:sz w:val="18"/>
                <w:szCs w:val="18"/>
              </w:rPr>
              <w:t xml:space="preserve">iagnostics for the </w:t>
            </w:r>
            <w:r w:rsidRPr="00B85C75">
              <w:rPr>
                <w:b/>
                <w:sz w:val="18"/>
                <w:szCs w:val="18"/>
              </w:rPr>
              <w:t>R</w:t>
            </w:r>
            <w:r>
              <w:rPr>
                <w:b/>
                <w:sz w:val="18"/>
                <w:szCs w:val="18"/>
              </w:rPr>
              <w:t xml:space="preserve">eal </w:t>
            </w:r>
            <w:r w:rsidRPr="00B85C75">
              <w:rPr>
                <w:b/>
                <w:sz w:val="18"/>
                <w:szCs w:val="18"/>
              </w:rPr>
              <w:t>W</w:t>
            </w:r>
            <w:r>
              <w:rPr>
                <w:b/>
                <w:sz w:val="18"/>
                <w:szCs w:val="18"/>
              </w:rPr>
              <w:t>orld (DRW)</w:t>
            </w:r>
            <w:r w:rsidRPr="00B85C75">
              <w:rPr>
                <w:b/>
                <w:sz w:val="18"/>
                <w:szCs w:val="18"/>
              </w:rPr>
              <w:t xml:space="preserve"> </w:t>
            </w:r>
          </w:p>
          <w:p w14:paraId="38201A4E" w14:textId="77777777" w:rsidR="00505595" w:rsidRPr="00B85C75" w:rsidRDefault="00505595" w:rsidP="000B497A">
            <w:pPr>
              <w:jc w:val="center"/>
              <w:rPr>
                <w:b/>
                <w:sz w:val="18"/>
                <w:szCs w:val="18"/>
              </w:rPr>
            </w:pPr>
            <w:r w:rsidRPr="00B601FA">
              <w:rPr>
                <w:b/>
                <w:sz w:val="18"/>
                <w:szCs w:val="18"/>
              </w:rPr>
              <w:t>Samba II HIV-1 Qual (EID)</w:t>
            </w:r>
          </w:p>
        </w:tc>
      </w:tr>
      <w:tr w:rsidR="00505595" w:rsidRPr="00B85C75" w14:paraId="0C06D3E8" w14:textId="77777777" w:rsidTr="000B497A">
        <w:trPr>
          <w:jc w:val="center"/>
        </w:trPr>
        <w:tc>
          <w:tcPr>
            <w:tcW w:w="1440" w:type="dxa"/>
          </w:tcPr>
          <w:p w14:paraId="413F2343" w14:textId="77777777" w:rsidR="00505595" w:rsidRPr="00B85C75" w:rsidRDefault="00505595" w:rsidP="000B497A">
            <w:pPr>
              <w:rPr>
                <w:b/>
                <w:sz w:val="18"/>
                <w:szCs w:val="18"/>
              </w:rPr>
            </w:pPr>
            <w:r w:rsidRPr="00B85C75">
              <w:rPr>
                <w:b/>
                <w:sz w:val="18"/>
                <w:szCs w:val="18"/>
              </w:rPr>
              <w:t>Cartridge shelf life</w:t>
            </w:r>
            <w:r w:rsidRPr="00B85C75">
              <w:rPr>
                <w:sz w:val="18"/>
                <w:szCs w:val="18"/>
              </w:rPr>
              <w:t>:</w:t>
            </w:r>
          </w:p>
        </w:tc>
        <w:tc>
          <w:tcPr>
            <w:tcW w:w="4590" w:type="dxa"/>
          </w:tcPr>
          <w:p w14:paraId="2E389B55" w14:textId="1FC7B316" w:rsidR="00505595" w:rsidRPr="00B85C75" w:rsidRDefault="00505595" w:rsidP="000B497A">
            <w:pPr>
              <w:rPr>
                <w:sz w:val="18"/>
                <w:szCs w:val="18"/>
              </w:rPr>
            </w:pPr>
            <w:r w:rsidRPr="00B85C75">
              <w:rPr>
                <w:sz w:val="18"/>
                <w:szCs w:val="18"/>
              </w:rPr>
              <w:t xml:space="preserve">Currently </w:t>
            </w:r>
            <w:r>
              <w:rPr>
                <w:sz w:val="18"/>
                <w:szCs w:val="18"/>
              </w:rPr>
              <w:t>8</w:t>
            </w:r>
            <w:r w:rsidRPr="00B85C75">
              <w:rPr>
                <w:sz w:val="18"/>
                <w:szCs w:val="18"/>
              </w:rPr>
              <w:t xml:space="preserve"> months from manufacture</w:t>
            </w:r>
            <w:r>
              <w:rPr>
                <w:sz w:val="18"/>
                <w:szCs w:val="18"/>
              </w:rPr>
              <w:t xml:space="preserve">. </w:t>
            </w:r>
            <w:r w:rsidRPr="00B85C75">
              <w:rPr>
                <w:sz w:val="18"/>
                <w:szCs w:val="18"/>
              </w:rPr>
              <w:t>Cep</w:t>
            </w:r>
            <w:r w:rsidR="00045A12">
              <w:rPr>
                <w:sz w:val="18"/>
                <w:szCs w:val="18"/>
              </w:rPr>
              <w:t>heid is working to improve this and hope that from March 2017 cartridges will have a 12</w:t>
            </w:r>
            <w:r w:rsidR="00C95C94">
              <w:rPr>
                <w:sz w:val="18"/>
                <w:szCs w:val="18"/>
              </w:rPr>
              <w:t xml:space="preserve"> </w:t>
            </w:r>
            <w:r w:rsidR="00045A12">
              <w:rPr>
                <w:sz w:val="18"/>
                <w:szCs w:val="18"/>
              </w:rPr>
              <w:t>months shelf</w:t>
            </w:r>
            <w:r w:rsidR="00C95C94">
              <w:rPr>
                <w:sz w:val="18"/>
                <w:szCs w:val="18"/>
              </w:rPr>
              <w:t xml:space="preserve"> </w:t>
            </w:r>
            <w:r w:rsidR="00045A12">
              <w:rPr>
                <w:sz w:val="18"/>
                <w:szCs w:val="18"/>
              </w:rPr>
              <w:t>life.</w:t>
            </w:r>
          </w:p>
        </w:tc>
        <w:tc>
          <w:tcPr>
            <w:tcW w:w="4590" w:type="dxa"/>
          </w:tcPr>
          <w:p w14:paraId="4CABC520" w14:textId="77777777" w:rsidR="00505595" w:rsidRPr="00B85C75" w:rsidRDefault="00505595" w:rsidP="000B497A">
            <w:pPr>
              <w:rPr>
                <w:sz w:val="18"/>
                <w:szCs w:val="18"/>
              </w:rPr>
            </w:pPr>
            <w:r>
              <w:rPr>
                <w:sz w:val="18"/>
                <w:szCs w:val="18"/>
              </w:rPr>
              <w:t>C</w:t>
            </w:r>
            <w:r w:rsidRPr="00B85C75">
              <w:rPr>
                <w:sz w:val="18"/>
                <w:szCs w:val="18"/>
              </w:rPr>
              <w:t>urrently 9 months from manufacture, working towards longer shelf life</w:t>
            </w:r>
          </w:p>
        </w:tc>
        <w:tc>
          <w:tcPr>
            <w:tcW w:w="4410" w:type="dxa"/>
          </w:tcPr>
          <w:p w14:paraId="74B62DC5" w14:textId="77777777" w:rsidR="00505595" w:rsidRPr="00B85C75" w:rsidRDefault="00505595" w:rsidP="000B497A">
            <w:pPr>
              <w:rPr>
                <w:sz w:val="18"/>
                <w:szCs w:val="18"/>
              </w:rPr>
            </w:pPr>
            <w:r w:rsidRPr="00B85C75">
              <w:rPr>
                <w:sz w:val="18"/>
                <w:szCs w:val="18"/>
              </w:rPr>
              <w:t>Currently 9 months from manufacture, guaranteeing 6 month from delivery.</w:t>
            </w:r>
            <w:r w:rsidRPr="00B85C75">
              <w:rPr>
                <w:sz w:val="18"/>
                <w:szCs w:val="18"/>
              </w:rPr>
              <w:tab/>
            </w:r>
          </w:p>
        </w:tc>
      </w:tr>
      <w:tr w:rsidR="00505595" w:rsidRPr="00B85C75" w14:paraId="621C5A56" w14:textId="77777777" w:rsidTr="000B497A">
        <w:trPr>
          <w:trHeight w:val="422"/>
          <w:jc w:val="center"/>
        </w:trPr>
        <w:tc>
          <w:tcPr>
            <w:tcW w:w="1440" w:type="dxa"/>
          </w:tcPr>
          <w:p w14:paraId="7CFC3023" w14:textId="77777777" w:rsidR="00505595" w:rsidRPr="00B85C75" w:rsidRDefault="00505595" w:rsidP="000B497A">
            <w:pPr>
              <w:rPr>
                <w:b/>
                <w:sz w:val="18"/>
                <w:szCs w:val="18"/>
              </w:rPr>
            </w:pPr>
            <w:r w:rsidRPr="00B85C75">
              <w:rPr>
                <w:b/>
                <w:sz w:val="18"/>
                <w:szCs w:val="18"/>
              </w:rPr>
              <w:t>Max throughput</w:t>
            </w:r>
            <w:r w:rsidRPr="00B85C75">
              <w:rPr>
                <w:sz w:val="18"/>
                <w:szCs w:val="18"/>
              </w:rPr>
              <w:t>:</w:t>
            </w:r>
          </w:p>
        </w:tc>
        <w:tc>
          <w:tcPr>
            <w:tcW w:w="4590" w:type="dxa"/>
          </w:tcPr>
          <w:p w14:paraId="71CFAC24" w14:textId="77777777" w:rsidR="00505595" w:rsidRPr="00B85C75" w:rsidRDefault="00505595" w:rsidP="000B497A">
            <w:pPr>
              <w:rPr>
                <w:sz w:val="18"/>
                <w:szCs w:val="18"/>
              </w:rPr>
            </w:pPr>
            <w:r w:rsidRPr="00B85C75">
              <w:rPr>
                <w:sz w:val="18"/>
                <w:szCs w:val="18"/>
              </w:rPr>
              <w:t>20 tests/day</w:t>
            </w:r>
          </w:p>
        </w:tc>
        <w:tc>
          <w:tcPr>
            <w:tcW w:w="4590" w:type="dxa"/>
          </w:tcPr>
          <w:p w14:paraId="470BE3FA" w14:textId="77777777" w:rsidR="00505595" w:rsidRPr="00B85C75" w:rsidRDefault="00505595" w:rsidP="000B497A">
            <w:pPr>
              <w:rPr>
                <w:sz w:val="18"/>
                <w:szCs w:val="18"/>
              </w:rPr>
            </w:pPr>
            <w:r w:rsidRPr="00B85C75">
              <w:rPr>
                <w:sz w:val="18"/>
                <w:szCs w:val="18"/>
              </w:rPr>
              <w:t>8 tests/day</w:t>
            </w:r>
          </w:p>
        </w:tc>
        <w:tc>
          <w:tcPr>
            <w:tcW w:w="4410" w:type="dxa"/>
          </w:tcPr>
          <w:p w14:paraId="2E35D440" w14:textId="77777777" w:rsidR="00505595" w:rsidRPr="00B85C75" w:rsidRDefault="00505595" w:rsidP="000B497A">
            <w:pPr>
              <w:rPr>
                <w:sz w:val="18"/>
                <w:szCs w:val="18"/>
              </w:rPr>
            </w:pPr>
            <w:r w:rsidRPr="00B85C75">
              <w:rPr>
                <w:sz w:val="18"/>
                <w:szCs w:val="18"/>
              </w:rPr>
              <w:t>4 test/day using one Assay module.  Possibility to add up another assays module control by the same tablet.</w:t>
            </w:r>
          </w:p>
        </w:tc>
      </w:tr>
      <w:tr w:rsidR="00505595" w:rsidRPr="00B85C75" w14:paraId="0DB7F1DA" w14:textId="77777777" w:rsidTr="000B497A">
        <w:trPr>
          <w:jc w:val="center"/>
        </w:trPr>
        <w:tc>
          <w:tcPr>
            <w:tcW w:w="1440" w:type="dxa"/>
          </w:tcPr>
          <w:p w14:paraId="74C29332" w14:textId="77777777" w:rsidR="00505595" w:rsidRPr="00B85C75" w:rsidRDefault="00505595" w:rsidP="000B497A">
            <w:pPr>
              <w:rPr>
                <w:b/>
                <w:sz w:val="18"/>
                <w:szCs w:val="18"/>
              </w:rPr>
            </w:pPr>
            <w:r w:rsidRPr="00B85C75">
              <w:rPr>
                <w:b/>
                <w:sz w:val="18"/>
                <w:szCs w:val="18"/>
              </w:rPr>
              <w:t>Routine maintenance</w:t>
            </w:r>
            <w:r w:rsidRPr="00B85C75">
              <w:rPr>
                <w:sz w:val="18"/>
                <w:szCs w:val="18"/>
              </w:rPr>
              <w:t>:</w:t>
            </w:r>
          </w:p>
        </w:tc>
        <w:tc>
          <w:tcPr>
            <w:tcW w:w="4590" w:type="dxa"/>
          </w:tcPr>
          <w:p w14:paraId="6795CBF7" w14:textId="77777777" w:rsidR="00505595" w:rsidRPr="00B85C75" w:rsidRDefault="00505595" w:rsidP="000B497A">
            <w:pPr>
              <w:rPr>
                <w:sz w:val="18"/>
                <w:szCs w:val="18"/>
              </w:rPr>
            </w:pPr>
            <w:r w:rsidRPr="00B85C75">
              <w:rPr>
                <w:sz w:val="18"/>
                <w:szCs w:val="18"/>
              </w:rPr>
              <w:t>Daily and monthly cleaning procedures are crucial</w:t>
            </w:r>
          </w:p>
        </w:tc>
        <w:tc>
          <w:tcPr>
            <w:tcW w:w="4590" w:type="dxa"/>
          </w:tcPr>
          <w:p w14:paraId="78BEA4A9" w14:textId="77777777" w:rsidR="00505595" w:rsidRPr="00B85C75" w:rsidRDefault="00505595" w:rsidP="000B497A">
            <w:pPr>
              <w:rPr>
                <w:sz w:val="18"/>
                <w:szCs w:val="18"/>
              </w:rPr>
            </w:pPr>
            <w:r w:rsidRPr="00B85C75">
              <w:rPr>
                <w:sz w:val="18"/>
                <w:szCs w:val="18"/>
              </w:rPr>
              <w:t>Nothing specific</w:t>
            </w:r>
          </w:p>
        </w:tc>
        <w:tc>
          <w:tcPr>
            <w:tcW w:w="4410" w:type="dxa"/>
          </w:tcPr>
          <w:p w14:paraId="44BFD0BE" w14:textId="77777777" w:rsidR="00505595" w:rsidRPr="00B85C75" w:rsidRDefault="00505595" w:rsidP="000B497A">
            <w:pPr>
              <w:rPr>
                <w:sz w:val="18"/>
                <w:szCs w:val="18"/>
              </w:rPr>
            </w:pPr>
            <w:r w:rsidRPr="00B85C75">
              <w:rPr>
                <w:sz w:val="18"/>
                <w:szCs w:val="18"/>
              </w:rPr>
              <w:t>TBD</w:t>
            </w:r>
          </w:p>
        </w:tc>
      </w:tr>
      <w:tr w:rsidR="00505595" w:rsidRPr="00B85C75" w14:paraId="7A4D8CE3" w14:textId="77777777" w:rsidTr="000B497A">
        <w:trPr>
          <w:trHeight w:val="449"/>
          <w:jc w:val="center"/>
        </w:trPr>
        <w:tc>
          <w:tcPr>
            <w:tcW w:w="1440" w:type="dxa"/>
          </w:tcPr>
          <w:p w14:paraId="64C5F017" w14:textId="77777777" w:rsidR="00505595" w:rsidRPr="00B85C75" w:rsidRDefault="00505595" w:rsidP="000B497A">
            <w:pPr>
              <w:rPr>
                <w:b/>
                <w:sz w:val="18"/>
                <w:szCs w:val="18"/>
              </w:rPr>
            </w:pPr>
            <w:r w:rsidRPr="00B85C75">
              <w:rPr>
                <w:b/>
                <w:sz w:val="18"/>
                <w:szCs w:val="18"/>
              </w:rPr>
              <w:t>Storage temperature:</w:t>
            </w:r>
          </w:p>
        </w:tc>
        <w:tc>
          <w:tcPr>
            <w:tcW w:w="4590" w:type="dxa"/>
          </w:tcPr>
          <w:p w14:paraId="18988F87" w14:textId="77777777" w:rsidR="00505595" w:rsidRPr="00B85C75" w:rsidRDefault="00505595" w:rsidP="000B497A">
            <w:pPr>
              <w:rPr>
                <w:b/>
                <w:sz w:val="18"/>
                <w:szCs w:val="18"/>
              </w:rPr>
            </w:pPr>
            <w:r w:rsidRPr="00B85C75">
              <w:rPr>
                <w:sz w:val="18"/>
                <w:szCs w:val="18"/>
              </w:rPr>
              <w:t xml:space="preserve">Shipping at 2-8C, storage at 2-28C. Manufacturers have agreed to ship from point of origin to country ports cold chain. </w:t>
            </w:r>
          </w:p>
        </w:tc>
        <w:tc>
          <w:tcPr>
            <w:tcW w:w="4590" w:type="dxa"/>
          </w:tcPr>
          <w:p w14:paraId="2FC6FA79" w14:textId="77777777" w:rsidR="00505595" w:rsidRPr="00B85C75" w:rsidRDefault="00505595" w:rsidP="000B497A">
            <w:pPr>
              <w:rPr>
                <w:b/>
                <w:sz w:val="18"/>
                <w:szCs w:val="18"/>
              </w:rPr>
            </w:pPr>
            <w:r w:rsidRPr="00B85C75">
              <w:rPr>
                <w:sz w:val="18"/>
                <w:szCs w:val="18"/>
              </w:rPr>
              <w:t>Shipping and storage 4-30C</w:t>
            </w:r>
          </w:p>
        </w:tc>
        <w:tc>
          <w:tcPr>
            <w:tcW w:w="4410" w:type="dxa"/>
          </w:tcPr>
          <w:p w14:paraId="7F83B1EB" w14:textId="77777777" w:rsidR="00505595" w:rsidRPr="00B85C75" w:rsidRDefault="00505595" w:rsidP="000B497A">
            <w:pPr>
              <w:rPr>
                <w:sz w:val="18"/>
                <w:szCs w:val="18"/>
              </w:rPr>
            </w:pPr>
            <w:r w:rsidRPr="00B85C75">
              <w:rPr>
                <w:sz w:val="18"/>
                <w:szCs w:val="18"/>
              </w:rPr>
              <w:t>2-37C for long term storage, -10C to 55C shipping stability (up to 1 month)</w:t>
            </w:r>
          </w:p>
        </w:tc>
      </w:tr>
      <w:tr w:rsidR="00505595" w:rsidRPr="00B85C75" w14:paraId="684AA6A6" w14:textId="77777777" w:rsidTr="000B497A">
        <w:trPr>
          <w:jc w:val="center"/>
        </w:trPr>
        <w:tc>
          <w:tcPr>
            <w:tcW w:w="1440" w:type="dxa"/>
          </w:tcPr>
          <w:p w14:paraId="0C22DEDF" w14:textId="77777777" w:rsidR="00505595" w:rsidRPr="00B85C75" w:rsidRDefault="00505595" w:rsidP="000B497A">
            <w:pPr>
              <w:rPr>
                <w:b/>
                <w:sz w:val="18"/>
                <w:szCs w:val="18"/>
              </w:rPr>
            </w:pPr>
            <w:r w:rsidRPr="00B85C75">
              <w:rPr>
                <w:b/>
                <w:sz w:val="18"/>
                <w:szCs w:val="18"/>
              </w:rPr>
              <w:t>Environment for running of tests:</w:t>
            </w:r>
          </w:p>
        </w:tc>
        <w:tc>
          <w:tcPr>
            <w:tcW w:w="4590" w:type="dxa"/>
          </w:tcPr>
          <w:p w14:paraId="30CCD4F9" w14:textId="77777777" w:rsidR="00505595" w:rsidRPr="00B85C75" w:rsidRDefault="00505595" w:rsidP="000B497A">
            <w:pPr>
              <w:rPr>
                <w:b/>
                <w:sz w:val="18"/>
                <w:szCs w:val="18"/>
              </w:rPr>
            </w:pPr>
            <w:r w:rsidRPr="00B85C75">
              <w:rPr>
                <w:sz w:val="18"/>
                <w:szCs w:val="18"/>
              </w:rPr>
              <w:t>15-30C</w:t>
            </w:r>
          </w:p>
        </w:tc>
        <w:tc>
          <w:tcPr>
            <w:tcW w:w="4590" w:type="dxa"/>
          </w:tcPr>
          <w:p w14:paraId="3D1324A1" w14:textId="77777777" w:rsidR="00505595" w:rsidRPr="00B85C75" w:rsidRDefault="00505595" w:rsidP="000B497A">
            <w:pPr>
              <w:rPr>
                <w:sz w:val="18"/>
                <w:szCs w:val="18"/>
              </w:rPr>
            </w:pPr>
            <w:r w:rsidRPr="00B85C75">
              <w:rPr>
                <w:sz w:val="18"/>
                <w:szCs w:val="18"/>
              </w:rPr>
              <w:t>10-40C</w:t>
            </w:r>
          </w:p>
        </w:tc>
        <w:tc>
          <w:tcPr>
            <w:tcW w:w="4410" w:type="dxa"/>
          </w:tcPr>
          <w:p w14:paraId="22711BF7" w14:textId="77777777" w:rsidR="00505595" w:rsidRPr="00B85C75" w:rsidRDefault="00505595" w:rsidP="000B497A">
            <w:pPr>
              <w:rPr>
                <w:sz w:val="18"/>
                <w:szCs w:val="18"/>
              </w:rPr>
            </w:pPr>
            <w:r w:rsidRPr="00B85C75">
              <w:rPr>
                <w:sz w:val="18"/>
                <w:szCs w:val="18"/>
              </w:rPr>
              <w:t>10-38C; Rel. humidity: ≤80% @ ≤31ºC, decreasing linearly to 50% RH @ 40ºC (can’t be used in very hot and very humid environment)</w:t>
            </w:r>
          </w:p>
        </w:tc>
      </w:tr>
      <w:tr w:rsidR="00505595" w:rsidRPr="00B85C75" w14:paraId="46E92A6E" w14:textId="77777777" w:rsidTr="000B497A">
        <w:trPr>
          <w:jc w:val="center"/>
        </w:trPr>
        <w:tc>
          <w:tcPr>
            <w:tcW w:w="1440" w:type="dxa"/>
          </w:tcPr>
          <w:p w14:paraId="12E818EE" w14:textId="77777777" w:rsidR="00505595" w:rsidRPr="00B85C75" w:rsidRDefault="00505595" w:rsidP="000B497A">
            <w:pPr>
              <w:rPr>
                <w:b/>
                <w:sz w:val="18"/>
                <w:szCs w:val="18"/>
              </w:rPr>
            </w:pPr>
            <w:r w:rsidRPr="00B85C75">
              <w:rPr>
                <w:b/>
                <w:sz w:val="18"/>
                <w:szCs w:val="18"/>
              </w:rPr>
              <w:t>Power requirements:</w:t>
            </w:r>
          </w:p>
        </w:tc>
        <w:tc>
          <w:tcPr>
            <w:tcW w:w="4590" w:type="dxa"/>
          </w:tcPr>
          <w:p w14:paraId="6D112824" w14:textId="0C392431" w:rsidR="00505595" w:rsidRPr="00B85C75" w:rsidRDefault="00505595" w:rsidP="00DB4869">
            <w:pPr>
              <w:rPr>
                <w:sz w:val="18"/>
                <w:szCs w:val="18"/>
              </w:rPr>
            </w:pPr>
            <w:r w:rsidRPr="00B85C75">
              <w:rPr>
                <w:sz w:val="18"/>
                <w:szCs w:val="18"/>
              </w:rPr>
              <w:t>Requires good and stable power supply, thus would need an external gel battery with each platform</w:t>
            </w:r>
          </w:p>
        </w:tc>
        <w:tc>
          <w:tcPr>
            <w:tcW w:w="4590" w:type="dxa"/>
          </w:tcPr>
          <w:p w14:paraId="463DEA6F" w14:textId="77777777" w:rsidR="00505595" w:rsidRPr="00B85C75" w:rsidRDefault="00505595" w:rsidP="000B497A">
            <w:pPr>
              <w:rPr>
                <w:sz w:val="18"/>
                <w:szCs w:val="18"/>
              </w:rPr>
            </w:pPr>
            <w:r w:rsidRPr="00B85C75">
              <w:rPr>
                <w:sz w:val="18"/>
                <w:szCs w:val="18"/>
              </w:rPr>
              <w:t>Comes with a built in battery, thus stable power at the testing facility is not required</w:t>
            </w:r>
          </w:p>
        </w:tc>
        <w:tc>
          <w:tcPr>
            <w:tcW w:w="4410" w:type="dxa"/>
          </w:tcPr>
          <w:p w14:paraId="505779D1" w14:textId="77777777" w:rsidR="00505595" w:rsidRPr="00B85C75" w:rsidRDefault="00505595" w:rsidP="000B497A">
            <w:pPr>
              <w:rPr>
                <w:b/>
                <w:sz w:val="18"/>
                <w:szCs w:val="18"/>
              </w:rPr>
            </w:pPr>
            <w:r w:rsidRPr="00B85C75">
              <w:rPr>
                <w:sz w:val="18"/>
                <w:szCs w:val="18"/>
              </w:rPr>
              <w:t>Requires good and stable power supply, thus we would need to purchase an external gel battery with each platform</w:t>
            </w:r>
          </w:p>
        </w:tc>
      </w:tr>
      <w:tr w:rsidR="00505595" w:rsidRPr="00B85C75" w14:paraId="188EA50B" w14:textId="77777777" w:rsidTr="000B497A">
        <w:trPr>
          <w:jc w:val="center"/>
        </w:trPr>
        <w:tc>
          <w:tcPr>
            <w:tcW w:w="1440" w:type="dxa"/>
          </w:tcPr>
          <w:p w14:paraId="7A0DA030" w14:textId="77777777" w:rsidR="00505595" w:rsidRPr="00B85C75" w:rsidRDefault="00505595" w:rsidP="000B497A">
            <w:pPr>
              <w:rPr>
                <w:b/>
                <w:sz w:val="18"/>
                <w:szCs w:val="18"/>
              </w:rPr>
            </w:pPr>
            <w:r w:rsidRPr="00B85C75">
              <w:rPr>
                <w:b/>
                <w:sz w:val="18"/>
                <w:szCs w:val="18"/>
              </w:rPr>
              <w:t>Portable</w:t>
            </w:r>
            <w:r w:rsidRPr="00B85C75">
              <w:rPr>
                <w:sz w:val="18"/>
                <w:szCs w:val="18"/>
              </w:rPr>
              <w:t>?</w:t>
            </w:r>
          </w:p>
        </w:tc>
        <w:tc>
          <w:tcPr>
            <w:tcW w:w="4590" w:type="dxa"/>
          </w:tcPr>
          <w:p w14:paraId="77C756A8" w14:textId="1BC3BD05" w:rsidR="00505595" w:rsidRPr="00B85C75" w:rsidRDefault="00505595" w:rsidP="004839D6">
            <w:pPr>
              <w:rPr>
                <w:sz w:val="18"/>
                <w:szCs w:val="18"/>
              </w:rPr>
            </w:pPr>
            <w:r w:rsidRPr="00B85C75">
              <w:rPr>
                <w:sz w:val="18"/>
                <w:szCs w:val="18"/>
              </w:rPr>
              <w:t xml:space="preserve">No. </w:t>
            </w:r>
            <w:r>
              <w:rPr>
                <w:sz w:val="18"/>
                <w:szCs w:val="18"/>
              </w:rPr>
              <w:t xml:space="preserve">However, a highly-portable, battery-operated version called the Omni is expected to be released in Q3 2017. </w:t>
            </w:r>
          </w:p>
        </w:tc>
        <w:tc>
          <w:tcPr>
            <w:tcW w:w="4590" w:type="dxa"/>
          </w:tcPr>
          <w:p w14:paraId="355469BC" w14:textId="77777777" w:rsidR="00505595" w:rsidRPr="00B85C75" w:rsidRDefault="00505595" w:rsidP="000B497A">
            <w:pPr>
              <w:rPr>
                <w:sz w:val="18"/>
                <w:szCs w:val="18"/>
              </w:rPr>
            </w:pPr>
            <w:r w:rsidRPr="00B85C75">
              <w:rPr>
                <w:sz w:val="18"/>
                <w:szCs w:val="18"/>
              </w:rPr>
              <w:t>Yes. (7.8 kg) This means it could be “shared” between multiple sites</w:t>
            </w:r>
          </w:p>
        </w:tc>
        <w:tc>
          <w:tcPr>
            <w:tcW w:w="4410" w:type="dxa"/>
          </w:tcPr>
          <w:p w14:paraId="02693122" w14:textId="77777777" w:rsidR="00505595" w:rsidRPr="00B85C75" w:rsidRDefault="00505595" w:rsidP="000B497A">
            <w:pPr>
              <w:rPr>
                <w:sz w:val="18"/>
                <w:szCs w:val="18"/>
              </w:rPr>
            </w:pPr>
            <w:r w:rsidRPr="00B85C75">
              <w:rPr>
                <w:sz w:val="18"/>
                <w:szCs w:val="18"/>
              </w:rPr>
              <w:t>No because of power requirement</w:t>
            </w:r>
            <w:r>
              <w:rPr>
                <w:sz w:val="18"/>
                <w:szCs w:val="18"/>
              </w:rPr>
              <w:t>.</w:t>
            </w:r>
          </w:p>
        </w:tc>
      </w:tr>
      <w:tr w:rsidR="00505595" w:rsidRPr="00B85C75" w14:paraId="5A69798A" w14:textId="77777777" w:rsidTr="000B497A">
        <w:trPr>
          <w:jc w:val="center"/>
        </w:trPr>
        <w:tc>
          <w:tcPr>
            <w:tcW w:w="1440" w:type="dxa"/>
          </w:tcPr>
          <w:p w14:paraId="335E599C" w14:textId="77777777" w:rsidR="00505595" w:rsidRPr="00B85C75" w:rsidRDefault="00505595" w:rsidP="000B497A">
            <w:pPr>
              <w:rPr>
                <w:b/>
                <w:sz w:val="18"/>
                <w:szCs w:val="18"/>
              </w:rPr>
            </w:pPr>
            <w:r w:rsidRPr="00B85C75">
              <w:rPr>
                <w:b/>
                <w:sz w:val="18"/>
                <w:szCs w:val="18"/>
              </w:rPr>
              <w:t>Polyvalent capacity</w:t>
            </w:r>
          </w:p>
          <w:p w14:paraId="45A09282" w14:textId="77777777" w:rsidR="00505595" w:rsidRPr="00B85C75" w:rsidRDefault="00505595" w:rsidP="000B497A">
            <w:pPr>
              <w:rPr>
                <w:sz w:val="18"/>
                <w:szCs w:val="18"/>
              </w:rPr>
            </w:pPr>
            <w:r w:rsidRPr="00B85C75">
              <w:rPr>
                <w:i/>
                <w:sz w:val="18"/>
                <w:szCs w:val="18"/>
              </w:rPr>
              <w:t>(</w:t>
            </w:r>
            <w:proofErr w:type="spellStart"/>
            <w:proofErr w:type="gramStart"/>
            <w:r w:rsidRPr="00B85C75">
              <w:rPr>
                <w:i/>
                <w:sz w:val="18"/>
                <w:szCs w:val="18"/>
              </w:rPr>
              <w:t>ie</w:t>
            </w:r>
            <w:proofErr w:type="spellEnd"/>
            <w:proofErr w:type="gramEnd"/>
            <w:r w:rsidRPr="00B85C75">
              <w:rPr>
                <w:i/>
                <w:sz w:val="18"/>
                <w:szCs w:val="18"/>
              </w:rPr>
              <w:t>: Can the platform conduct other assay types?):</w:t>
            </w:r>
          </w:p>
        </w:tc>
        <w:tc>
          <w:tcPr>
            <w:tcW w:w="4590" w:type="dxa"/>
          </w:tcPr>
          <w:p w14:paraId="3C216117" w14:textId="77777777" w:rsidR="00505595" w:rsidRPr="00B85C75" w:rsidRDefault="00505595" w:rsidP="000B497A">
            <w:pPr>
              <w:rPr>
                <w:sz w:val="18"/>
                <w:szCs w:val="18"/>
              </w:rPr>
            </w:pPr>
            <w:r w:rsidRPr="00B85C75">
              <w:rPr>
                <w:sz w:val="18"/>
                <w:szCs w:val="18"/>
              </w:rPr>
              <w:t>Yes, there is potential to use this platform for TB and other viral testing. One consideration here is if there are currently underutilized platforms that are being used for TB, there is potential to add EID to optimize these existing platforms</w:t>
            </w:r>
          </w:p>
        </w:tc>
        <w:tc>
          <w:tcPr>
            <w:tcW w:w="4590" w:type="dxa"/>
          </w:tcPr>
          <w:p w14:paraId="67967D5B" w14:textId="1F719967" w:rsidR="00505595" w:rsidRPr="00B85C75" w:rsidRDefault="00505595" w:rsidP="00045A12">
            <w:pPr>
              <w:rPr>
                <w:sz w:val="18"/>
                <w:szCs w:val="18"/>
              </w:rPr>
            </w:pPr>
            <w:r w:rsidRPr="00B85C75">
              <w:rPr>
                <w:sz w:val="18"/>
                <w:szCs w:val="18"/>
              </w:rPr>
              <w:t xml:space="preserve">Currently only HIV-1/2. HIV viral load is in development with planned </w:t>
            </w:r>
            <w:r w:rsidR="00045A12">
              <w:rPr>
                <w:sz w:val="18"/>
                <w:szCs w:val="18"/>
              </w:rPr>
              <w:t>accelerated</w:t>
            </w:r>
            <w:r w:rsidRPr="00B85C75">
              <w:rPr>
                <w:sz w:val="18"/>
                <w:szCs w:val="18"/>
              </w:rPr>
              <w:t xml:space="preserve"> WHO PQ submission in Q4 2017</w:t>
            </w:r>
            <w:r>
              <w:rPr>
                <w:sz w:val="18"/>
                <w:szCs w:val="18"/>
              </w:rPr>
              <w:t xml:space="preserve">. Other viral testing, including filovirus testing (e.g. </w:t>
            </w:r>
            <w:proofErr w:type="spellStart"/>
            <w:r>
              <w:rPr>
                <w:sz w:val="18"/>
                <w:szCs w:val="18"/>
              </w:rPr>
              <w:t>ebola</w:t>
            </w:r>
            <w:proofErr w:type="spellEnd"/>
            <w:r>
              <w:rPr>
                <w:sz w:val="18"/>
                <w:szCs w:val="18"/>
              </w:rPr>
              <w:t>) in development.</w:t>
            </w:r>
          </w:p>
        </w:tc>
        <w:tc>
          <w:tcPr>
            <w:tcW w:w="4410" w:type="dxa"/>
          </w:tcPr>
          <w:p w14:paraId="1353E946" w14:textId="77777777" w:rsidR="00505595" w:rsidRPr="00B85C75" w:rsidRDefault="00505595" w:rsidP="000B497A">
            <w:pPr>
              <w:pStyle w:val="Default"/>
              <w:rPr>
                <w:sz w:val="18"/>
                <w:szCs w:val="18"/>
              </w:rPr>
            </w:pPr>
            <w:r w:rsidRPr="00B85C75">
              <w:rPr>
                <w:sz w:val="18"/>
                <w:szCs w:val="18"/>
              </w:rPr>
              <w:t>Currently HIV qualitative and HIV viral load semi-quantitative. Dev. stage: Chlamydia and gonorrhea Duplex test, Flu A/B Duplex test</w:t>
            </w:r>
          </w:p>
          <w:p w14:paraId="1528D469" w14:textId="77777777" w:rsidR="00505595" w:rsidRPr="00B85C75" w:rsidRDefault="00505595" w:rsidP="000B497A">
            <w:pPr>
              <w:rPr>
                <w:b/>
                <w:sz w:val="18"/>
                <w:szCs w:val="18"/>
              </w:rPr>
            </w:pPr>
          </w:p>
        </w:tc>
      </w:tr>
      <w:tr w:rsidR="00505595" w:rsidRPr="00B85C75" w14:paraId="4E8568D0" w14:textId="77777777" w:rsidTr="000B497A">
        <w:trPr>
          <w:jc w:val="center"/>
        </w:trPr>
        <w:tc>
          <w:tcPr>
            <w:tcW w:w="1440" w:type="dxa"/>
          </w:tcPr>
          <w:p w14:paraId="1B688238" w14:textId="77777777" w:rsidR="00505595" w:rsidRPr="00B85C75" w:rsidRDefault="00505595" w:rsidP="000B497A">
            <w:pPr>
              <w:rPr>
                <w:b/>
                <w:sz w:val="18"/>
                <w:szCs w:val="18"/>
              </w:rPr>
            </w:pPr>
            <w:r w:rsidRPr="00B85C75">
              <w:rPr>
                <w:b/>
                <w:sz w:val="18"/>
                <w:szCs w:val="18"/>
              </w:rPr>
              <w:t>Tests for:</w:t>
            </w:r>
          </w:p>
        </w:tc>
        <w:tc>
          <w:tcPr>
            <w:tcW w:w="4590" w:type="dxa"/>
          </w:tcPr>
          <w:p w14:paraId="13586514" w14:textId="77777777" w:rsidR="00505595" w:rsidRPr="00B85C75" w:rsidRDefault="00505595" w:rsidP="000B497A">
            <w:pPr>
              <w:rPr>
                <w:sz w:val="18"/>
                <w:szCs w:val="18"/>
              </w:rPr>
            </w:pPr>
            <w:r w:rsidRPr="00B85C75">
              <w:rPr>
                <w:sz w:val="18"/>
                <w:szCs w:val="18"/>
              </w:rPr>
              <w:t>HIV 1 only</w:t>
            </w:r>
          </w:p>
        </w:tc>
        <w:tc>
          <w:tcPr>
            <w:tcW w:w="4590" w:type="dxa"/>
          </w:tcPr>
          <w:p w14:paraId="412A75B9" w14:textId="77777777" w:rsidR="00505595" w:rsidRPr="00B85C75" w:rsidRDefault="00505595" w:rsidP="000B497A">
            <w:pPr>
              <w:rPr>
                <w:sz w:val="18"/>
                <w:szCs w:val="18"/>
              </w:rPr>
            </w:pPr>
            <w:r w:rsidRPr="00B85C75">
              <w:rPr>
                <w:sz w:val="18"/>
                <w:szCs w:val="18"/>
              </w:rPr>
              <w:t>HIV 1 and HIV-2</w:t>
            </w:r>
          </w:p>
        </w:tc>
        <w:tc>
          <w:tcPr>
            <w:tcW w:w="4410" w:type="dxa"/>
          </w:tcPr>
          <w:p w14:paraId="14F322A9" w14:textId="77777777" w:rsidR="00505595" w:rsidRPr="00B85C75" w:rsidRDefault="00505595" w:rsidP="000B497A">
            <w:pPr>
              <w:rPr>
                <w:b/>
                <w:sz w:val="18"/>
                <w:szCs w:val="18"/>
              </w:rPr>
            </w:pPr>
            <w:r w:rsidRPr="00B85C75">
              <w:rPr>
                <w:sz w:val="18"/>
                <w:szCs w:val="18"/>
              </w:rPr>
              <w:t>HIV 1 only</w:t>
            </w:r>
          </w:p>
        </w:tc>
      </w:tr>
      <w:tr w:rsidR="00505595" w:rsidRPr="00B85C75" w14:paraId="374D8E99" w14:textId="77777777" w:rsidTr="000B497A">
        <w:trPr>
          <w:jc w:val="center"/>
        </w:trPr>
        <w:tc>
          <w:tcPr>
            <w:tcW w:w="1440" w:type="dxa"/>
          </w:tcPr>
          <w:p w14:paraId="6F12CEF9" w14:textId="77777777" w:rsidR="00505595" w:rsidRPr="00B85C75" w:rsidRDefault="00505595" w:rsidP="000B497A">
            <w:pPr>
              <w:rPr>
                <w:b/>
                <w:sz w:val="18"/>
                <w:szCs w:val="18"/>
              </w:rPr>
            </w:pPr>
            <w:r w:rsidRPr="00B85C75">
              <w:rPr>
                <w:b/>
                <w:sz w:val="18"/>
                <w:szCs w:val="18"/>
              </w:rPr>
              <w:t>Type of sample:</w:t>
            </w:r>
          </w:p>
        </w:tc>
        <w:tc>
          <w:tcPr>
            <w:tcW w:w="4590" w:type="dxa"/>
          </w:tcPr>
          <w:p w14:paraId="3F9B1760" w14:textId="77777777" w:rsidR="00505595" w:rsidRPr="00B85C75" w:rsidRDefault="00505595" w:rsidP="000B497A">
            <w:pPr>
              <w:rPr>
                <w:sz w:val="18"/>
                <w:szCs w:val="18"/>
              </w:rPr>
            </w:pPr>
            <w:r w:rsidRPr="00B85C75">
              <w:rPr>
                <w:sz w:val="18"/>
                <w:szCs w:val="18"/>
              </w:rPr>
              <w:t xml:space="preserve">DBS or 100µl of whole blood EDTA (capillary or venous). </w:t>
            </w:r>
          </w:p>
          <w:p w14:paraId="3BDC8D86" w14:textId="77777777" w:rsidR="00505595" w:rsidRPr="00B85C75" w:rsidRDefault="00505595" w:rsidP="000B497A">
            <w:pPr>
              <w:rPr>
                <w:sz w:val="18"/>
                <w:szCs w:val="18"/>
              </w:rPr>
            </w:pPr>
            <w:r w:rsidRPr="00B85C75">
              <w:rPr>
                <w:sz w:val="18"/>
                <w:szCs w:val="18"/>
              </w:rPr>
              <w:t>Note that testing with DBS will require extra time, a warmer, and extra steps to prepare the sample for testing.</w:t>
            </w:r>
            <w:r>
              <w:rPr>
                <w:sz w:val="18"/>
                <w:szCs w:val="18"/>
              </w:rPr>
              <w:t xml:space="preserve"> Due to the power requirements the warmer requires, it is unlikely to be able to be placed at a decentralized facility.  </w:t>
            </w:r>
          </w:p>
        </w:tc>
        <w:tc>
          <w:tcPr>
            <w:tcW w:w="4590" w:type="dxa"/>
          </w:tcPr>
          <w:p w14:paraId="172E2ABE" w14:textId="77777777" w:rsidR="00505595" w:rsidRPr="00B85C75" w:rsidRDefault="00505595" w:rsidP="000B497A">
            <w:pPr>
              <w:rPr>
                <w:sz w:val="18"/>
                <w:szCs w:val="18"/>
              </w:rPr>
            </w:pPr>
            <w:r w:rsidRPr="00B85C75">
              <w:rPr>
                <w:sz w:val="18"/>
                <w:szCs w:val="18"/>
              </w:rPr>
              <w:t>25µl of Whole blood EDTA (capillary or venous)</w:t>
            </w:r>
          </w:p>
        </w:tc>
        <w:tc>
          <w:tcPr>
            <w:tcW w:w="4410" w:type="dxa"/>
          </w:tcPr>
          <w:p w14:paraId="612A856D" w14:textId="77777777" w:rsidR="00505595" w:rsidRPr="00B85C75" w:rsidRDefault="00505595" w:rsidP="000B497A">
            <w:pPr>
              <w:rPr>
                <w:sz w:val="18"/>
                <w:szCs w:val="18"/>
              </w:rPr>
            </w:pPr>
            <w:r w:rsidRPr="00B85C75">
              <w:rPr>
                <w:sz w:val="18"/>
                <w:szCs w:val="18"/>
              </w:rPr>
              <w:t>100µl of Whole blood (capillary or venous)</w:t>
            </w:r>
          </w:p>
        </w:tc>
      </w:tr>
      <w:tr w:rsidR="00505595" w:rsidRPr="00B85C75" w14:paraId="2A0D8203" w14:textId="77777777" w:rsidTr="000B497A">
        <w:trPr>
          <w:jc w:val="center"/>
        </w:trPr>
        <w:tc>
          <w:tcPr>
            <w:tcW w:w="1440" w:type="dxa"/>
          </w:tcPr>
          <w:p w14:paraId="356461EB" w14:textId="77777777" w:rsidR="00505595" w:rsidRPr="00B85C75" w:rsidRDefault="00505595" w:rsidP="000B497A">
            <w:pPr>
              <w:tabs>
                <w:tab w:val="left" w:pos="6420"/>
              </w:tabs>
              <w:rPr>
                <w:b/>
                <w:sz w:val="18"/>
                <w:szCs w:val="18"/>
              </w:rPr>
            </w:pPr>
            <w:r w:rsidRPr="00B85C75">
              <w:rPr>
                <w:b/>
                <w:sz w:val="18"/>
                <w:szCs w:val="18"/>
              </w:rPr>
              <w:t>Time to result:</w:t>
            </w:r>
            <w:r w:rsidRPr="00B85C75">
              <w:rPr>
                <w:sz w:val="18"/>
                <w:szCs w:val="18"/>
              </w:rPr>
              <w:t xml:space="preserve">  </w:t>
            </w:r>
          </w:p>
        </w:tc>
        <w:tc>
          <w:tcPr>
            <w:tcW w:w="4590" w:type="dxa"/>
          </w:tcPr>
          <w:p w14:paraId="670D4225" w14:textId="77777777" w:rsidR="00505595" w:rsidRPr="00B85C75" w:rsidRDefault="00505595" w:rsidP="000B497A">
            <w:pPr>
              <w:tabs>
                <w:tab w:val="left" w:pos="6420"/>
              </w:tabs>
              <w:rPr>
                <w:sz w:val="18"/>
                <w:szCs w:val="18"/>
              </w:rPr>
            </w:pPr>
            <w:r w:rsidRPr="00B85C75">
              <w:rPr>
                <w:sz w:val="18"/>
                <w:szCs w:val="18"/>
              </w:rPr>
              <w:t>92 minutes per test. Up to 4 individual tests can be run concurrently.</w:t>
            </w:r>
          </w:p>
        </w:tc>
        <w:tc>
          <w:tcPr>
            <w:tcW w:w="4590" w:type="dxa"/>
          </w:tcPr>
          <w:p w14:paraId="02AF741D" w14:textId="77777777" w:rsidR="00505595" w:rsidRPr="00B85C75" w:rsidRDefault="00505595" w:rsidP="000B497A">
            <w:pPr>
              <w:tabs>
                <w:tab w:val="left" w:pos="6420"/>
              </w:tabs>
              <w:rPr>
                <w:sz w:val="18"/>
                <w:szCs w:val="18"/>
              </w:rPr>
            </w:pPr>
            <w:r w:rsidRPr="00B85C75">
              <w:rPr>
                <w:sz w:val="18"/>
                <w:szCs w:val="18"/>
              </w:rPr>
              <w:t>52 minutes per test, to be run one test at a time</w:t>
            </w:r>
          </w:p>
        </w:tc>
        <w:tc>
          <w:tcPr>
            <w:tcW w:w="4410" w:type="dxa"/>
          </w:tcPr>
          <w:p w14:paraId="20063AE1" w14:textId="77777777" w:rsidR="00505595" w:rsidRPr="00B85C75" w:rsidRDefault="00505595" w:rsidP="000B497A">
            <w:pPr>
              <w:tabs>
                <w:tab w:val="left" w:pos="6420"/>
              </w:tabs>
              <w:rPr>
                <w:b/>
                <w:sz w:val="18"/>
                <w:szCs w:val="18"/>
              </w:rPr>
            </w:pPr>
            <w:r w:rsidRPr="00B85C75">
              <w:rPr>
                <w:sz w:val="18"/>
                <w:szCs w:val="18"/>
              </w:rPr>
              <w:t>120 minutes per test, to be run one test at a time on each Assay module</w:t>
            </w:r>
          </w:p>
        </w:tc>
      </w:tr>
      <w:tr w:rsidR="00505595" w:rsidRPr="00B85C75" w14:paraId="3EFD166A" w14:textId="77777777" w:rsidTr="000B497A">
        <w:trPr>
          <w:jc w:val="center"/>
        </w:trPr>
        <w:tc>
          <w:tcPr>
            <w:tcW w:w="1440" w:type="dxa"/>
          </w:tcPr>
          <w:p w14:paraId="63418760" w14:textId="77777777" w:rsidR="00505595" w:rsidRPr="00B85C75" w:rsidRDefault="00505595" w:rsidP="000B497A">
            <w:pPr>
              <w:tabs>
                <w:tab w:val="left" w:pos="6420"/>
              </w:tabs>
              <w:rPr>
                <w:b/>
                <w:sz w:val="18"/>
                <w:szCs w:val="18"/>
              </w:rPr>
            </w:pPr>
            <w:r w:rsidRPr="00B85C75">
              <w:rPr>
                <w:b/>
                <w:sz w:val="18"/>
                <w:szCs w:val="18"/>
              </w:rPr>
              <w:t>Waste management:</w:t>
            </w:r>
          </w:p>
        </w:tc>
        <w:tc>
          <w:tcPr>
            <w:tcW w:w="4590" w:type="dxa"/>
          </w:tcPr>
          <w:p w14:paraId="63F3695B" w14:textId="77777777" w:rsidR="00505595" w:rsidRPr="00B85C75" w:rsidRDefault="00505595" w:rsidP="000B497A">
            <w:pPr>
              <w:tabs>
                <w:tab w:val="left" w:pos="6420"/>
              </w:tabs>
              <w:rPr>
                <w:sz w:val="18"/>
                <w:szCs w:val="18"/>
              </w:rPr>
            </w:pPr>
            <w:r w:rsidRPr="00B85C75">
              <w:rPr>
                <w:sz w:val="18"/>
                <w:szCs w:val="18"/>
              </w:rPr>
              <w:t>Cartridges contain guanidin</w:t>
            </w:r>
            <w:r>
              <w:rPr>
                <w:sz w:val="18"/>
                <w:szCs w:val="18"/>
              </w:rPr>
              <w:t>ium</w:t>
            </w:r>
            <w:r w:rsidRPr="00B85C75">
              <w:rPr>
                <w:sz w:val="18"/>
                <w:szCs w:val="18"/>
              </w:rPr>
              <w:t xml:space="preserve"> thio</w:t>
            </w:r>
            <w:r>
              <w:rPr>
                <w:sz w:val="18"/>
                <w:szCs w:val="18"/>
              </w:rPr>
              <w:t>cyan</w:t>
            </w:r>
            <w:r w:rsidRPr="00B85C75">
              <w:rPr>
                <w:sz w:val="18"/>
                <w:szCs w:val="18"/>
              </w:rPr>
              <w:t xml:space="preserve">ate, a harmful chemical if release in drainage system and which requires </w:t>
            </w:r>
            <w:r w:rsidRPr="00B85C75">
              <w:rPr>
                <w:sz w:val="18"/>
                <w:szCs w:val="18"/>
              </w:rPr>
              <w:lastRenderedPageBreak/>
              <w:t>high temperature incineration (TBC). Facilities using this product need access to an incinerator on-site, or regular waste transportation to an incinerator.</w:t>
            </w:r>
          </w:p>
        </w:tc>
        <w:tc>
          <w:tcPr>
            <w:tcW w:w="4590" w:type="dxa"/>
          </w:tcPr>
          <w:p w14:paraId="0C1DAF17" w14:textId="77777777" w:rsidR="00505595" w:rsidRPr="00B85C75" w:rsidRDefault="00505595" w:rsidP="000B497A">
            <w:pPr>
              <w:tabs>
                <w:tab w:val="left" w:pos="6420"/>
              </w:tabs>
              <w:rPr>
                <w:sz w:val="18"/>
                <w:szCs w:val="18"/>
              </w:rPr>
            </w:pPr>
            <w:r w:rsidRPr="00B85C75">
              <w:rPr>
                <w:sz w:val="18"/>
                <w:szCs w:val="18"/>
              </w:rPr>
              <w:lastRenderedPageBreak/>
              <w:t xml:space="preserve">TBD, most likely a simple burner is </w:t>
            </w:r>
            <w:r w:rsidRPr="005F143E">
              <w:rPr>
                <w:sz w:val="18"/>
                <w:szCs w:val="18"/>
              </w:rPr>
              <w:t>ok</w:t>
            </w:r>
            <w:r w:rsidRPr="00B85C75">
              <w:rPr>
                <w:sz w:val="18"/>
                <w:szCs w:val="18"/>
              </w:rPr>
              <w:t>.</w:t>
            </w:r>
          </w:p>
          <w:p w14:paraId="69D2AF77" w14:textId="77777777" w:rsidR="00505595" w:rsidRPr="00B85C75" w:rsidRDefault="00505595" w:rsidP="000B497A">
            <w:pPr>
              <w:tabs>
                <w:tab w:val="left" w:pos="6420"/>
              </w:tabs>
              <w:jc w:val="center"/>
              <w:rPr>
                <w:b/>
                <w:sz w:val="18"/>
                <w:szCs w:val="18"/>
              </w:rPr>
            </w:pPr>
          </w:p>
        </w:tc>
        <w:tc>
          <w:tcPr>
            <w:tcW w:w="4410" w:type="dxa"/>
          </w:tcPr>
          <w:p w14:paraId="52A24537" w14:textId="77777777" w:rsidR="00505595" w:rsidRPr="005F143E" w:rsidRDefault="00505595" w:rsidP="000B497A">
            <w:pPr>
              <w:tabs>
                <w:tab w:val="left" w:pos="6420"/>
              </w:tabs>
              <w:rPr>
                <w:sz w:val="18"/>
                <w:szCs w:val="18"/>
              </w:rPr>
            </w:pPr>
            <w:r w:rsidRPr="005F143E">
              <w:rPr>
                <w:sz w:val="18"/>
                <w:szCs w:val="18"/>
              </w:rPr>
              <w:t>MSDS not available yet. TBD</w:t>
            </w:r>
          </w:p>
          <w:p w14:paraId="364638C8" w14:textId="77777777" w:rsidR="00505595" w:rsidRPr="00B85C75" w:rsidRDefault="00505595" w:rsidP="000B497A">
            <w:pPr>
              <w:ind w:firstLine="720"/>
              <w:rPr>
                <w:sz w:val="18"/>
                <w:szCs w:val="18"/>
              </w:rPr>
            </w:pPr>
          </w:p>
        </w:tc>
      </w:tr>
      <w:tr w:rsidR="00505595" w:rsidRPr="00B85C75" w14:paraId="0599B1C0" w14:textId="77777777" w:rsidTr="007D32FD">
        <w:trPr>
          <w:trHeight w:val="1592"/>
          <w:jc w:val="center"/>
        </w:trPr>
        <w:tc>
          <w:tcPr>
            <w:tcW w:w="1440" w:type="dxa"/>
            <w:shd w:val="clear" w:color="auto" w:fill="auto"/>
          </w:tcPr>
          <w:p w14:paraId="0E51BE79" w14:textId="1910C854" w:rsidR="00505595" w:rsidRPr="00B85C75" w:rsidRDefault="00A30E01" w:rsidP="000B497A">
            <w:pPr>
              <w:tabs>
                <w:tab w:val="left" w:pos="3885"/>
              </w:tabs>
              <w:jc w:val="both"/>
              <w:rPr>
                <w:b/>
                <w:sz w:val="18"/>
                <w:szCs w:val="18"/>
              </w:rPr>
            </w:pPr>
            <w:r>
              <w:rPr>
                <w:b/>
                <w:sz w:val="18"/>
                <w:szCs w:val="18"/>
              </w:rPr>
              <w:lastRenderedPageBreak/>
              <w:t>Pricing</w:t>
            </w:r>
            <w:r w:rsidR="000E5836">
              <w:rPr>
                <w:b/>
                <w:sz w:val="18"/>
                <w:szCs w:val="18"/>
              </w:rPr>
              <w:t>:*</w:t>
            </w:r>
          </w:p>
          <w:p w14:paraId="7104D2E3" w14:textId="77777777" w:rsidR="00505595" w:rsidRPr="00B85C75" w:rsidRDefault="00505595" w:rsidP="000B497A">
            <w:pPr>
              <w:tabs>
                <w:tab w:val="left" w:pos="3885"/>
              </w:tabs>
              <w:jc w:val="both"/>
              <w:rPr>
                <w:b/>
                <w:sz w:val="18"/>
                <w:szCs w:val="18"/>
              </w:rPr>
            </w:pPr>
          </w:p>
        </w:tc>
        <w:tc>
          <w:tcPr>
            <w:tcW w:w="4590" w:type="dxa"/>
            <w:shd w:val="clear" w:color="auto" w:fill="auto"/>
          </w:tcPr>
          <w:p w14:paraId="611B51BD" w14:textId="6AAAE0FA" w:rsidR="00505595" w:rsidRPr="00B85C75" w:rsidRDefault="00505595" w:rsidP="006A0988">
            <w:pPr>
              <w:tabs>
                <w:tab w:val="left" w:pos="3885"/>
              </w:tabs>
              <w:rPr>
                <w:sz w:val="18"/>
                <w:szCs w:val="18"/>
              </w:rPr>
            </w:pPr>
            <w:r w:rsidRPr="00B85C75">
              <w:rPr>
                <w:sz w:val="18"/>
                <w:szCs w:val="18"/>
              </w:rPr>
              <w:t xml:space="preserve">GeneXpert-IV platform: $USD 17,500 incl. laptop, (includes </w:t>
            </w:r>
            <w:r w:rsidR="00A30E01">
              <w:rPr>
                <w:sz w:val="18"/>
                <w:szCs w:val="18"/>
              </w:rPr>
              <w:t xml:space="preserve">a </w:t>
            </w:r>
            <w:r w:rsidRPr="00B85C75">
              <w:rPr>
                <w:sz w:val="18"/>
                <w:szCs w:val="18"/>
              </w:rPr>
              <w:t>2-</w:t>
            </w:r>
            <w:r w:rsidR="00A30E01">
              <w:rPr>
                <w:sz w:val="18"/>
                <w:szCs w:val="18"/>
              </w:rPr>
              <w:t>year</w:t>
            </w:r>
            <w:r w:rsidRPr="00B85C75">
              <w:rPr>
                <w:sz w:val="18"/>
                <w:szCs w:val="18"/>
              </w:rPr>
              <w:t xml:space="preserve"> warranty)</w:t>
            </w:r>
          </w:p>
          <w:p w14:paraId="701BA27D" w14:textId="77777777" w:rsidR="00505595" w:rsidRPr="00B85C75" w:rsidRDefault="00505595" w:rsidP="006A0988">
            <w:pPr>
              <w:tabs>
                <w:tab w:val="left" w:pos="3885"/>
              </w:tabs>
              <w:rPr>
                <w:sz w:val="18"/>
                <w:szCs w:val="18"/>
              </w:rPr>
            </w:pPr>
            <w:r w:rsidRPr="00B85C75">
              <w:rPr>
                <w:sz w:val="18"/>
                <w:szCs w:val="18"/>
              </w:rPr>
              <w:t>Cartridge: $USD 17.95</w:t>
            </w:r>
          </w:p>
          <w:p w14:paraId="6F3585A6" w14:textId="64D689A5" w:rsidR="00505595" w:rsidRPr="00B85C75" w:rsidRDefault="00505595" w:rsidP="006A0988">
            <w:pPr>
              <w:tabs>
                <w:tab w:val="left" w:pos="3885"/>
              </w:tabs>
              <w:rPr>
                <w:sz w:val="18"/>
                <w:szCs w:val="18"/>
              </w:rPr>
            </w:pPr>
            <w:r w:rsidRPr="00B85C75">
              <w:rPr>
                <w:sz w:val="18"/>
                <w:szCs w:val="18"/>
              </w:rPr>
              <w:t>Cost of gel battery (required): $2,500</w:t>
            </w:r>
            <w:r w:rsidR="00A30E01">
              <w:rPr>
                <w:sz w:val="18"/>
                <w:szCs w:val="18"/>
              </w:rPr>
              <w:t xml:space="preserve"> </w:t>
            </w:r>
            <w:r w:rsidRPr="00B85C75">
              <w:rPr>
                <w:sz w:val="18"/>
                <w:szCs w:val="18"/>
              </w:rPr>
              <w:t>-</w:t>
            </w:r>
            <w:r w:rsidR="00A30E01">
              <w:rPr>
                <w:sz w:val="18"/>
                <w:szCs w:val="18"/>
              </w:rPr>
              <w:t xml:space="preserve"> $</w:t>
            </w:r>
            <w:r w:rsidRPr="00B85C75">
              <w:rPr>
                <w:sz w:val="18"/>
                <w:szCs w:val="18"/>
              </w:rPr>
              <w:t>4,000</w:t>
            </w:r>
          </w:p>
          <w:p w14:paraId="17ADAA67" w14:textId="1A859BA8" w:rsidR="0025156F" w:rsidRDefault="000E5836" w:rsidP="006A0988">
            <w:pPr>
              <w:tabs>
                <w:tab w:val="left" w:pos="3885"/>
              </w:tabs>
              <w:rPr>
                <w:sz w:val="18"/>
                <w:szCs w:val="18"/>
              </w:rPr>
            </w:pPr>
            <w:r>
              <w:rPr>
                <w:sz w:val="18"/>
                <w:szCs w:val="18"/>
              </w:rPr>
              <w:t>Service and Maintenance:</w:t>
            </w:r>
          </w:p>
          <w:p w14:paraId="7C6EF7B3" w14:textId="1917A757" w:rsidR="0025156F" w:rsidRDefault="0025156F" w:rsidP="006A0988">
            <w:pPr>
              <w:pStyle w:val="ListParagraph"/>
              <w:numPr>
                <w:ilvl w:val="0"/>
                <w:numId w:val="5"/>
              </w:numPr>
              <w:tabs>
                <w:tab w:val="left" w:pos="3885"/>
              </w:tabs>
              <w:ind w:left="157" w:hanging="157"/>
              <w:rPr>
                <w:sz w:val="18"/>
                <w:szCs w:val="18"/>
              </w:rPr>
            </w:pPr>
            <w:r>
              <w:rPr>
                <w:sz w:val="18"/>
                <w:szCs w:val="18"/>
              </w:rPr>
              <w:t>Two-year warranty included in the purchase price</w:t>
            </w:r>
          </w:p>
          <w:p w14:paraId="6235E402" w14:textId="0B281BA4" w:rsidR="0025156F" w:rsidRDefault="0025156F" w:rsidP="006A0988">
            <w:pPr>
              <w:pStyle w:val="ListParagraph"/>
              <w:numPr>
                <w:ilvl w:val="0"/>
                <w:numId w:val="5"/>
              </w:numPr>
              <w:tabs>
                <w:tab w:val="left" w:pos="3885"/>
              </w:tabs>
              <w:ind w:left="157" w:hanging="157"/>
              <w:rPr>
                <w:sz w:val="18"/>
                <w:szCs w:val="18"/>
              </w:rPr>
            </w:pPr>
            <w:r w:rsidRPr="00B85C75">
              <w:rPr>
                <w:sz w:val="18"/>
                <w:szCs w:val="18"/>
              </w:rPr>
              <w:t>$2,900</w:t>
            </w:r>
            <w:r>
              <w:rPr>
                <w:sz w:val="18"/>
                <w:szCs w:val="18"/>
              </w:rPr>
              <w:t xml:space="preserve"> per year to extend the warranty beyond 2 years, if purchased with the instrument; or </w:t>
            </w:r>
          </w:p>
          <w:p w14:paraId="3B7B68E8" w14:textId="1AFC1C16" w:rsidR="0025156F" w:rsidRDefault="00C55876" w:rsidP="006A0988">
            <w:pPr>
              <w:pStyle w:val="ListParagraph"/>
              <w:numPr>
                <w:ilvl w:val="0"/>
                <w:numId w:val="5"/>
              </w:numPr>
              <w:tabs>
                <w:tab w:val="left" w:pos="3885"/>
              </w:tabs>
              <w:ind w:left="157" w:hanging="157"/>
              <w:rPr>
                <w:sz w:val="18"/>
                <w:szCs w:val="18"/>
              </w:rPr>
            </w:pPr>
            <w:r>
              <w:rPr>
                <w:sz w:val="18"/>
                <w:szCs w:val="18"/>
              </w:rPr>
              <w:t>$6,84</w:t>
            </w:r>
            <w:r w:rsidR="0025156F" w:rsidRPr="00B85C75">
              <w:rPr>
                <w:sz w:val="18"/>
                <w:szCs w:val="18"/>
              </w:rPr>
              <w:t>0</w:t>
            </w:r>
            <w:r w:rsidR="0025156F">
              <w:rPr>
                <w:sz w:val="18"/>
                <w:szCs w:val="18"/>
              </w:rPr>
              <w:t xml:space="preserve"> to extend the warranty for 3 additional years, for a total of 5 years, if purchased with instrument; or</w:t>
            </w:r>
          </w:p>
          <w:p w14:paraId="73553567" w14:textId="685B18BD" w:rsidR="00505595" w:rsidRPr="0025156F" w:rsidRDefault="0025156F" w:rsidP="006A0988">
            <w:pPr>
              <w:pStyle w:val="ListParagraph"/>
              <w:numPr>
                <w:ilvl w:val="0"/>
                <w:numId w:val="5"/>
              </w:numPr>
              <w:tabs>
                <w:tab w:val="left" w:pos="3885"/>
              </w:tabs>
              <w:ind w:left="157" w:hanging="157"/>
              <w:rPr>
                <w:sz w:val="18"/>
                <w:szCs w:val="18"/>
              </w:rPr>
            </w:pPr>
            <w:r w:rsidRPr="00B85C75">
              <w:rPr>
                <w:sz w:val="18"/>
                <w:szCs w:val="18"/>
              </w:rPr>
              <w:t>$7,900</w:t>
            </w:r>
            <w:r>
              <w:rPr>
                <w:sz w:val="18"/>
                <w:szCs w:val="18"/>
              </w:rPr>
              <w:t xml:space="preserve"> to extend the warranty for 3 additional years, for a total of 5 years, if purchased after the instrument is installed.</w:t>
            </w:r>
          </w:p>
        </w:tc>
        <w:tc>
          <w:tcPr>
            <w:tcW w:w="4590" w:type="dxa"/>
            <w:shd w:val="clear" w:color="auto" w:fill="auto"/>
          </w:tcPr>
          <w:p w14:paraId="26EE9340" w14:textId="0AC8DC10" w:rsidR="00505595" w:rsidRPr="00B85C75" w:rsidRDefault="00505595" w:rsidP="006A0988">
            <w:pPr>
              <w:tabs>
                <w:tab w:val="left" w:pos="3885"/>
              </w:tabs>
              <w:rPr>
                <w:sz w:val="18"/>
                <w:szCs w:val="18"/>
              </w:rPr>
            </w:pPr>
            <w:r w:rsidRPr="00B85C75">
              <w:rPr>
                <w:sz w:val="18"/>
                <w:szCs w:val="18"/>
              </w:rPr>
              <w:t>Platform: $USD 25,000, includes battery, mod</w:t>
            </w:r>
            <w:r w:rsidR="00A30E01">
              <w:rPr>
                <w:sz w:val="18"/>
                <w:szCs w:val="18"/>
              </w:rPr>
              <w:t>em and printer (includes 1-</w:t>
            </w:r>
            <w:r w:rsidRPr="00B85C75">
              <w:rPr>
                <w:sz w:val="18"/>
                <w:szCs w:val="18"/>
              </w:rPr>
              <w:t>y</w:t>
            </w:r>
            <w:r w:rsidR="00A30E01">
              <w:rPr>
                <w:sz w:val="18"/>
                <w:szCs w:val="18"/>
              </w:rPr>
              <w:t>ear</w:t>
            </w:r>
            <w:r w:rsidRPr="00B85C75">
              <w:rPr>
                <w:sz w:val="18"/>
                <w:szCs w:val="18"/>
              </w:rPr>
              <w:t xml:space="preserve"> warranty)</w:t>
            </w:r>
          </w:p>
          <w:p w14:paraId="2993C835" w14:textId="77777777" w:rsidR="00505595" w:rsidRPr="00B85C75" w:rsidRDefault="00505595" w:rsidP="006A0988">
            <w:pPr>
              <w:tabs>
                <w:tab w:val="left" w:pos="3885"/>
              </w:tabs>
              <w:rPr>
                <w:sz w:val="18"/>
                <w:szCs w:val="18"/>
              </w:rPr>
            </w:pPr>
            <w:r w:rsidRPr="00B85C75">
              <w:rPr>
                <w:sz w:val="18"/>
                <w:szCs w:val="18"/>
              </w:rPr>
              <w:t>Cartridge: $25.00</w:t>
            </w:r>
          </w:p>
          <w:p w14:paraId="1CB910A9" w14:textId="77777777" w:rsidR="0025156F" w:rsidRDefault="0025156F" w:rsidP="006A0988">
            <w:pPr>
              <w:tabs>
                <w:tab w:val="left" w:pos="3885"/>
              </w:tabs>
              <w:rPr>
                <w:sz w:val="18"/>
                <w:szCs w:val="18"/>
              </w:rPr>
            </w:pPr>
            <w:r>
              <w:rPr>
                <w:sz w:val="18"/>
                <w:szCs w:val="18"/>
              </w:rPr>
              <w:t>Service and Maintenance:</w:t>
            </w:r>
          </w:p>
          <w:p w14:paraId="1302F511" w14:textId="77777777" w:rsidR="000E5836" w:rsidRDefault="000E5836" w:rsidP="006A0988">
            <w:pPr>
              <w:pStyle w:val="ListParagraph"/>
              <w:numPr>
                <w:ilvl w:val="0"/>
                <w:numId w:val="5"/>
              </w:numPr>
              <w:tabs>
                <w:tab w:val="left" w:pos="3885"/>
              </w:tabs>
              <w:ind w:left="157" w:hanging="157"/>
              <w:rPr>
                <w:sz w:val="18"/>
                <w:szCs w:val="18"/>
              </w:rPr>
            </w:pPr>
            <w:r>
              <w:rPr>
                <w:sz w:val="18"/>
                <w:szCs w:val="18"/>
              </w:rPr>
              <w:t>One-year warranty included in the purchase price</w:t>
            </w:r>
          </w:p>
          <w:p w14:paraId="541A4482" w14:textId="77777777" w:rsidR="00505595" w:rsidRDefault="00505595" w:rsidP="006A0988">
            <w:pPr>
              <w:pStyle w:val="ListParagraph"/>
              <w:numPr>
                <w:ilvl w:val="0"/>
                <w:numId w:val="5"/>
              </w:numPr>
              <w:tabs>
                <w:tab w:val="left" w:pos="3885"/>
              </w:tabs>
              <w:ind w:left="157" w:hanging="157"/>
              <w:rPr>
                <w:sz w:val="18"/>
                <w:szCs w:val="18"/>
              </w:rPr>
            </w:pPr>
            <w:r w:rsidRPr="000E5836">
              <w:rPr>
                <w:sz w:val="18"/>
                <w:szCs w:val="18"/>
              </w:rPr>
              <w:t>$2,500</w:t>
            </w:r>
            <w:r w:rsidR="000E5836">
              <w:rPr>
                <w:sz w:val="18"/>
                <w:szCs w:val="18"/>
              </w:rPr>
              <w:t xml:space="preserve"> per year to extend the warranty beyond 1 year, if purchased with the instrument</w:t>
            </w:r>
            <w:r w:rsidR="00A06596">
              <w:rPr>
                <w:sz w:val="18"/>
                <w:szCs w:val="18"/>
              </w:rPr>
              <w:t>.</w:t>
            </w:r>
          </w:p>
          <w:p w14:paraId="25745772" w14:textId="6247B279" w:rsidR="003E3FAB" w:rsidRPr="000E5836" w:rsidRDefault="003E3FAB" w:rsidP="006A0988">
            <w:pPr>
              <w:pStyle w:val="ListParagraph"/>
              <w:numPr>
                <w:ilvl w:val="0"/>
                <w:numId w:val="5"/>
              </w:numPr>
              <w:tabs>
                <w:tab w:val="left" w:pos="3885"/>
              </w:tabs>
              <w:ind w:left="157" w:hanging="157"/>
              <w:rPr>
                <w:sz w:val="18"/>
                <w:szCs w:val="18"/>
              </w:rPr>
            </w:pPr>
            <w:r>
              <w:rPr>
                <w:sz w:val="18"/>
                <w:szCs w:val="18"/>
              </w:rPr>
              <w:t xml:space="preserve">$9,000 to extend the warranty for 4 additional years, for a total </w:t>
            </w:r>
            <w:bookmarkStart w:id="0" w:name="_GoBack"/>
            <w:bookmarkEnd w:id="0"/>
            <w:r>
              <w:rPr>
                <w:sz w:val="18"/>
                <w:szCs w:val="18"/>
              </w:rPr>
              <w:t>of 5 years, if purchased with instrument</w:t>
            </w:r>
          </w:p>
        </w:tc>
        <w:tc>
          <w:tcPr>
            <w:tcW w:w="4410" w:type="dxa"/>
            <w:shd w:val="clear" w:color="auto" w:fill="auto"/>
          </w:tcPr>
          <w:p w14:paraId="7B4B811C" w14:textId="2A53BDE5" w:rsidR="00505595" w:rsidRPr="00B85C75" w:rsidRDefault="00505595" w:rsidP="006A0988">
            <w:pPr>
              <w:tabs>
                <w:tab w:val="left" w:pos="3885"/>
              </w:tabs>
              <w:rPr>
                <w:sz w:val="18"/>
                <w:szCs w:val="18"/>
              </w:rPr>
            </w:pPr>
            <w:r w:rsidRPr="00B85C75">
              <w:rPr>
                <w:sz w:val="18"/>
                <w:szCs w:val="18"/>
              </w:rPr>
              <w:t>Platform: Assay Module= $26,750 including tablet, security system, printer &amp; paper (includes 1-y</w:t>
            </w:r>
            <w:r w:rsidR="00A06596">
              <w:rPr>
                <w:sz w:val="18"/>
                <w:szCs w:val="18"/>
              </w:rPr>
              <w:t>ear</w:t>
            </w:r>
            <w:r w:rsidRPr="00B85C75">
              <w:rPr>
                <w:sz w:val="18"/>
                <w:szCs w:val="18"/>
              </w:rPr>
              <w:t xml:space="preserve"> warranty)</w:t>
            </w:r>
          </w:p>
          <w:p w14:paraId="1AA50111" w14:textId="77777777" w:rsidR="00505595" w:rsidRPr="00B85C75" w:rsidRDefault="00505595" w:rsidP="006A0988">
            <w:pPr>
              <w:tabs>
                <w:tab w:val="left" w:pos="3885"/>
              </w:tabs>
              <w:rPr>
                <w:sz w:val="18"/>
                <w:szCs w:val="18"/>
              </w:rPr>
            </w:pPr>
            <w:r w:rsidRPr="00B85C75">
              <w:rPr>
                <w:sz w:val="18"/>
                <w:szCs w:val="18"/>
              </w:rPr>
              <w:t>Cartridges; $37.40 + 10-15% distribution margin</w:t>
            </w:r>
          </w:p>
          <w:p w14:paraId="6919CF03" w14:textId="5BAF171C" w:rsidR="00045A12" w:rsidRDefault="00045A12" w:rsidP="006A0988">
            <w:pPr>
              <w:tabs>
                <w:tab w:val="left" w:pos="3885"/>
              </w:tabs>
              <w:rPr>
                <w:sz w:val="18"/>
                <w:szCs w:val="18"/>
              </w:rPr>
            </w:pPr>
            <w:r>
              <w:rPr>
                <w:sz w:val="18"/>
                <w:szCs w:val="18"/>
              </w:rPr>
              <w:t xml:space="preserve">Heel prick </w:t>
            </w:r>
            <w:r w:rsidR="00114D72">
              <w:rPr>
                <w:sz w:val="18"/>
                <w:szCs w:val="18"/>
              </w:rPr>
              <w:t xml:space="preserve">capillary blood </w:t>
            </w:r>
            <w:r>
              <w:rPr>
                <w:sz w:val="18"/>
                <w:szCs w:val="18"/>
              </w:rPr>
              <w:t>collection kits</w:t>
            </w:r>
            <w:r w:rsidR="00114D72">
              <w:rPr>
                <w:sz w:val="18"/>
                <w:szCs w:val="18"/>
              </w:rPr>
              <w:t xml:space="preserve"> with EDTA transport microtube</w:t>
            </w:r>
            <w:r>
              <w:rPr>
                <w:sz w:val="18"/>
                <w:szCs w:val="18"/>
              </w:rPr>
              <w:t xml:space="preserve"> included in the cartridge kit.</w:t>
            </w:r>
          </w:p>
          <w:p w14:paraId="4726A03F" w14:textId="77777777" w:rsidR="00505595" w:rsidRPr="00B85C75" w:rsidRDefault="00505595" w:rsidP="006A0988">
            <w:pPr>
              <w:tabs>
                <w:tab w:val="left" w:pos="3885"/>
              </w:tabs>
              <w:rPr>
                <w:sz w:val="18"/>
                <w:szCs w:val="18"/>
              </w:rPr>
            </w:pPr>
            <w:r w:rsidRPr="00B85C75">
              <w:rPr>
                <w:sz w:val="18"/>
                <w:szCs w:val="18"/>
              </w:rPr>
              <w:t>Cost of battery and charger-inverter: TBD</w:t>
            </w:r>
          </w:p>
          <w:p w14:paraId="69A8D620" w14:textId="0D2B84F6" w:rsidR="00A06596" w:rsidRDefault="00A06596" w:rsidP="006A0988">
            <w:pPr>
              <w:tabs>
                <w:tab w:val="left" w:pos="3885"/>
              </w:tabs>
              <w:rPr>
                <w:sz w:val="18"/>
                <w:szCs w:val="18"/>
              </w:rPr>
            </w:pPr>
            <w:r>
              <w:rPr>
                <w:sz w:val="18"/>
                <w:szCs w:val="18"/>
              </w:rPr>
              <w:t>Service and Maintenance:</w:t>
            </w:r>
          </w:p>
          <w:p w14:paraId="122FA6BB" w14:textId="77777777" w:rsidR="00A06596" w:rsidRDefault="00A06596" w:rsidP="006A0988">
            <w:pPr>
              <w:pStyle w:val="ListParagraph"/>
              <w:numPr>
                <w:ilvl w:val="0"/>
                <w:numId w:val="5"/>
              </w:numPr>
              <w:tabs>
                <w:tab w:val="left" w:pos="3885"/>
              </w:tabs>
              <w:ind w:left="157" w:hanging="157"/>
              <w:rPr>
                <w:sz w:val="18"/>
                <w:szCs w:val="18"/>
              </w:rPr>
            </w:pPr>
            <w:r>
              <w:rPr>
                <w:sz w:val="18"/>
                <w:szCs w:val="18"/>
              </w:rPr>
              <w:t>One-year warranty included in the purchase price</w:t>
            </w:r>
          </w:p>
          <w:p w14:paraId="2512A840" w14:textId="56976B69" w:rsidR="00A06596" w:rsidRDefault="00A06596" w:rsidP="006A0988">
            <w:pPr>
              <w:pStyle w:val="ListParagraph"/>
              <w:numPr>
                <w:ilvl w:val="0"/>
                <w:numId w:val="5"/>
              </w:numPr>
              <w:tabs>
                <w:tab w:val="left" w:pos="3885"/>
              </w:tabs>
              <w:ind w:left="157" w:hanging="157"/>
              <w:rPr>
                <w:sz w:val="18"/>
                <w:szCs w:val="18"/>
              </w:rPr>
            </w:pPr>
            <w:r w:rsidRPr="00A06596">
              <w:rPr>
                <w:sz w:val="18"/>
                <w:szCs w:val="18"/>
              </w:rPr>
              <w:t>$3,250</w:t>
            </w:r>
            <w:r>
              <w:rPr>
                <w:sz w:val="18"/>
                <w:szCs w:val="18"/>
              </w:rPr>
              <w:t xml:space="preserve"> to extend the warranty for 1 additional year (2 years total)</w:t>
            </w:r>
          </w:p>
          <w:p w14:paraId="2FDE7E22" w14:textId="4383C775" w:rsidR="00505595" w:rsidRPr="00A06596" w:rsidRDefault="00505595" w:rsidP="006A0988">
            <w:pPr>
              <w:pStyle w:val="ListParagraph"/>
              <w:numPr>
                <w:ilvl w:val="0"/>
                <w:numId w:val="5"/>
              </w:numPr>
              <w:tabs>
                <w:tab w:val="left" w:pos="3885"/>
              </w:tabs>
              <w:ind w:left="157" w:hanging="157"/>
              <w:rPr>
                <w:sz w:val="18"/>
                <w:szCs w:val="18"/>
              </w:rPr>
            </w:pPr>
            <w:r w:rsidRPr="00A06596">
              <w:rPr>
                <w:sz w:val="18"/>
                <w:szCs w:val="18"/>
              </w:rPr>
              <w:t xml:space="preserve">$6,500 </w:t>
            </w:r>
            <w:r w:rsidR="00A06596">
              <w:rPr>
                <w:sz w:val="18"/>
                <w:szCs w:val="18"/>
              </w:rPr>
              <w:t>to extend the warranty for 2 additional years (3 years total)</w:t>
            </w:r>
          </w:p>
        </w:tc>
      </w:tr>
      <w:tr w:rsidR="00505595" w:rsidRPr="00B85C75" w14:paraId="054697F4" w14:textId="77777777" w:rsidTr="000B497A">
        <w:trPr>
          <w:jc w:val="center"/>
        </w:trPr>
        <w:tc>
          <w:tcPr>
            <w:tcW w:w="1440" w:type="dxa"/>
          </w:tcPr>
          <w:p w14:paraId="7444CC97" w14:textId="3F136BBD" w:rsidR="00505595" w:rsidRPr="00B85C75" w:rsidRDefault="00505595" w:rsidP="000B497A">
            <w:pPr>
              <w:tabs>
                <w:tab w:val="left" w:pos="6420"/>
              </w:tabs>
              <w:rPr>
                <w:b/>
                <w:sz w:val="18"/>
                <w:szCs w:val="18"/>
              </w:rPr>
            </w:pPr>
            <w:r w:rsidRPr="00B85C75">
              <w:rPr>
                <w:b/>
                <w:sz w:val="18"/>
                <w:szCs w:val="18"/>
              </w:rPr>
              <w:t xml:space="preserve">Recommended testing setting: </w:t>
            </w:r>
          </w:p>
          <w:p w14:paraId="0E69C5C1" w14:textId="77777777" w:rsidR="00505595" w:rsidRPr="00B85C75" w:rsidRDefault="00505595" w:rsidP="000B497A">
            <w:pPr>
              <w:tabs>
                <w:tab w:val="left" w:pos="6420"/>
              </w:tabs>
              <w:rPr>
                <w:b/>
                <w:sz w:val="18"/>
                <w:szCs w:val="18"/>
              </w:rPr>
            </w:pPr>
          </w:p>
        </w:tc>
        <w:tc>
          <w:tcPr>
            <w:tcW w:w="4590" w:type="dxa"/>
          </w:tcPr>
          <w:p w14:paraId="0AD42B33" w14:textId="77777777" w:rsidR="00505595" w:rsidRPr="00B85C75" w:rsidRDefault="00505595" w:rsidP="000B497A">
            <w:pPr>
              <w:tabs>
                <w:tab w:val="left" w:pos="6420"/>
              </w:tabs>
              <w:rPr>
                <w:sz w:val="18"/>
                <w:szCs w:val="18"/>
              </w:rPr>
            </w:pPr>
            <w:r w:rsidRPr="00B85C75">
              <w:rPr>
                <w:sz w:val="18"/>
                <w:szCs w:val="18"/>
              </w:rPr>
              <w:t>More suitable for larger, more centralized facilities with increased HR capacity, higher testing volumes, good electricity grid, or possibility to install alternative power backup system, and access to incinerator (TBC)</w:t>
            </w:r>
          </w:p>
        </w:tc>
        <w:tc>
          <w:tcPr>
            <w:tcW w:w="4590" w:type="dxa"/>
          </w:tcPr>
          <w:p w14:paraId="0889EBD8" w14:textId="77777777" w:rsidR="00505595" w:rsidRPr="00B85C75" w:rsidRDefault="00505595" w:rsidP="000B497A">
            <w:pPr>
              <w:tabs>
                <w:tab w:val="left" w:pos="6420"/>
              </w:tabs>
              <w:rPr>
                <w:sz w:val="18"/>
                <w:szCs w:val="18"/>
              </w:rPr>
            </w:pPr>
            <w:r w:rsidRPr="00B85C75">
              <w:rPr>
                <w:sz w:val="18"/>
                <w:szCs w:val="18"/>
              </w:rPr>
              <w:t>More suitable for decentralized settings (battery pack, lower throughput)</w:t>
            </w:r>
          </w:p>
        </w:tc>
        <w:tc>
          <w:tcPr>
            <w:tcW w:w="4410" w:type="dxa"/>
          </w:tcPr>
          <w:p w14:paraId="2E29664E" w14:textId="77777777" w:rsidR="00505595" w:rsidRPr="00B85C75" w:rsidRDefault="00505595" w:rsidP="000B497A">
            <w:pPr>
              <w:tabs>
                <w:tab w:val="left" w:pos="6420"/>
              </w:tabs>
              <w:rPr>
                <w:b/>
                <w:sz w:val="18"/>
                <w:szCs w:val="18"/>
              </w:rPr>
            </w:pPr>
            <w:r w:rsidRPr="00B85C75">
              <w:rPr>
                <w:sz w:val="18"/>
                <w:szCs w:val="18"/>
              </w:rPr>
              <w:t>More suitable for larger, more centralized facilities with increased HR capacity, not too high volumes, but good electricity grid, or possibility to install alterna</w:t>
            </w:r>
            <w:r>
              <w:rPr>
                <w:sz w:val="18"/>
                <w:szCs w:val="18"/>
              </w:rPr>
              <w:t>tive power</w:t>
            </w:r>
          </w:p>
        </w:tc>
      </w:tr>
      <w:tr w:rsidR="00505595" w:rsidRPr="00B85C75" w14:paraId="6F5D5723" w14:textId="77777777" w:rsidTr="000B497A">
        <w:trPr>
          <w:jc w:val="center"/>
        </w:trPr>
        <w:tc>
          <w:tcPr>
            <w:tcW w:w="1440" w:type="dxa"/>
          </w:tcPr>
          <w:p w14:paraId="00402869" w14:textId="77777777" w:rsidR="00505595" w:rsidRPr="00B85C75" w:rsidRDefault="00505595" w:rsidP="000B497A">
            <w:pPr>
              <w:tabs>
                <w:tab w:val="left" w:pos="6420"/>
              </w:tabs>
              <w:rPr>
                <w:b/>
                <w:sz w:val="18"/>
                <w:szCs w:val="18"/>
              </w:rPr>
            </w:pPr>
            <w:r w:rsidRPr="00C06722">
              <w:rPr>
                <w:b/>
                <w:sz w:val="18"/>
                <w:szCs w:val="18"/>
              </w:rPr>
              <w:t>String</w:t>
            </w:r>
            <w:r>
              <w:rPr>
                <w:b/>
                <w:sz w:val="18"/>
                <w:szCs w:val="18"/>
              </w:rPr>
              <w:t>ent Regulatory Authority (SRA) a</w:t>
            </w:r>
            <w:r w:rsidRPr="00C06722">
              <w:rPr>
                <w:b/>
                <w:sz w:val="18"/>
                <w:szCs w:val="18"/>
              </w:rPr>
              <w:t>pproval</w:t>
            </w:r>
            <w:r>
              <w:rPr>
                <w:b/>
                <w:sz w:val="18"/>
                <w:szCs w:val="18"/>
              </w:rPr>
              <w:t>:</w:t>
            </w:r>
          </w:p>
        </w:tc>
        <w:tc>
          <w:tcPr>
            <w:tcW w:w="4590" w:type="dxa"/>
          </w:tcPr>
          <w:p w14:paraId="385B0389" w14:textId="77777777" w:rsidR="00505595" w:rsidRDefault="00505595" w:rsidP="000B497A">
            <w:pPr>
              <w:tabs>
                <w:tab w:val="left" w:pos="6420"/>
              </w:tabs>
              <w:rPr>
                <w:sz w:val="18"/>
                <w:szCs w:val="18"/>
              </w:rPr>
            </w:pPr>
            <w:r w:rsidRPr="00C06722">
              <w:rPr>
                <w:sz w:val="18"/>
                <w:szCs w:val="18"/>
              </w:rPr>
              <w:t>Cepheid Xpert® HIV-1 Qual Assay (EID)</w:t>
            </w:r>
            <w:r>
              <w:rPr>
                <w:sz w:val="18"/>
                <w:szCs w:val="18"/>
              </w:rPr>
              <w:t>:</w:t>
            </w:r>
          </w:p>
          <w:p w14:paraId="16A36BE0" w14:textId="77777777" w:rsidR="00505595" w:rsidRDefault="00505595" w:rsidP="000B497A">
            <w:pPr>
              <w:pStyle w:val="ListParagraph"/>
              <w:numPr>
                <w:ilvl w:val="0"/>
                <w:numId w:val="3"/>
              </w:numPr>
              <w:tabs>
                <w:tab w:val="left" w:pos="6420"/>
              </w:tabs>
              <w:ind w:left="342" w:hanging="270"/>
              <w:rPr>
                <w:sz w:val="18"/>
                <w:szCs w:val="18"/>
              </w:rPr>
            </w:pPr>
            <w:r w:rsidRPr="00E21D33">
              <w:rPr>
                <w:sz w:val="18"/>
                <w:szCs w:val="18"/>
              </w:rPr>
              <w:t>WHO Prequalified (</w:t>
            </w:r>
            <w:hyperlink r:id="rId8" w:history="1">
              <w:r w:rsidRPr="003E2821">
                <w:rPr>
                  <w:rStyle w:val="Hyperlink"/>
                  <w:sz w:val="18"/>
                  <w:szCs w:val="18"/>
                </w:rPr>
                <w:t>http://www.who.int/diagnostics_laboratory/evaluations/pq-list/hiv-vrl/160613PQPublicReport_0259-0700-00_XpertQualHIV_v2.pdf?ua=1</w:t>
              </w:r>
            </w:hyperlink>
            <w:r>
              <w:rPr>
                <w:sz w:val="18"/>
                <w:szCs w:val="18"/>
              </w:rPr>
              <w:t>)</w:t>
            </w:r>
          </w:p>
          <w:p w14:paraId="166E2EB8" w14:textId="77777777" w:rsidR="00505595" w:rsidRDefault="00505595" w:rsidP="000B497A">
            <w:pPr>
              <w:pStyle w:val="ListParagraph"/>
              <w:numPr>
                <w:ilvl w:val="0"/>
                <w:numId w:val="3"/>
              </w:numPr>
              <w:tabs>
                <w:tab w:val="left" w:pos="6420"/>
              </w:tabs>
              <w:ind w:left="360" w:hanging="288"/>
              <w:rPr>
                <w:sz w:val="18"/>
                <w:szCs w:val="18"/>
              </w:rPr>
            </w:pPr>
            <w:r w:rsidRPr="008D3CAD">
              <w:rPr>
                <w:sz w:val="18"/>
                <w:szCs w:val="18"/>
              </w:rPr>
              <w:t>CE-IVD Mark</w:t>
            </w:r>
          </w:p>
          <w:p w14:paraId="1C03011E" w14:textId="77777777" w:rsidR="00505595" w:rsidRPr="008D3CAD" w:rsidRDefault="00505595" w:rsidP="000B497A">
            <w:pPr>
              <w:tabs>
                <w:tab w:val="left" w:pos="6420"/>
              </w:tabs>
              <w:ind w:left="432" w:hanging="72"/>
              <w:rPr>
                <w:sz w:val="18"/>
                <w:szCs w:val="18"/>
              </w:rPr>
            </w:pPr>
            <w:r>
              <w:rPr>
                <w:sz w:val="18"/>
                <w:szCs w:val="18"/>
              </w:rPr>
              <w:t>(</w:t>
            </w:r>
            <w:hyperlink r:id="rId9" w:history="1">
              <w:r w:rsidRPr="00775C6D">
                <w:rPr>
                  <w:rStyle w:val="Hyperlink"/>
                  <w:sz w:val="18"/>
                  <w:szCs w:val="18"/>
                </w:rPr>
                <w:t>http://ir.cepheid.com/releasedetail.cfm?releaseid=906875</w:t>
              </w:r>
            </w:hyperlink>
            <w:r>
              <w:rPr>
                <w:sz w:val="18"/>
                <w:szCs w:val="18"/>
              </w:rPr>
              <w:t xml:space="preserve">) </w:t>
            </w:r>
          </w:p>
        </w:tc>
        <w:tc>
          <w:tcPr>
            <w:tcW w:w="4590" w:type="dxa"/>
          </w:tcPr>
          <w:p w14:paraId="3A4E9F2F" w14:textId="77777777" w:rsidR="00505595" w:rsidRDefault="00505595" w:rsidP="000B497A">
            <w:pPr>
              <w:tabs>
                <w:tab w:val="left" w:pos="6420"/>
              </w:tabs>
              <w:rPr>
                <w:sz w:val="18"/>
                <w:szCs w:val="18"/>
              </w:rPr>
            </w:pPr>
            <w:r w:rsidRPr="00632CA2">
              <w:rPr>
                <w:sz w:val="18"/>
                <w:szCs w:val="18"/>
              </w:rPr>
              <w:t>Alere™ q HIV-1/2 Detect (EID)</w:t>
            </w:r>
            <w:r>
              <w:rPr>
                <w:sz w:val="18"/>
                <w:szCs w:val="18"/>
              </w:rPr>
              <w:t>:</w:t>
            </w:r>
          </w:p>
          <w:p w14:paraId="753DAC42" w14:textId="77777777" w:rsidR="00505595" w:rsidRDefault="00505595" w:rsidP="000B497A">
            <w:pPr>
              <w:pStyle w:val="ListParagraph"/>
              <w:numPr>
                <w:ilvl w:val="0"/>
                <w:numId w:val="4"/>
              </w:numPr>
              <w:tabs>
                <w:tab w:val="left" w:pos="6420"/>
              </w:tabs>
              <w:ind w:left="522"/>
              <w:rPr>
                <w:sz w:val="18"/>
                <w:szCs w:val="18"/>
              </w:rPr>
            </w:pPr>
            <w:r w:rsidRPr="00632CA2">
              <w:rPr>
                <w:sz w:val="18"/>
                <w:szCs w:val="18"/>
              </w:rPr>
              <w:t>WHO Prequalified (</w:t>
            </w:r>
            <w:hyperlink r:id="rId10" w:history="1">
              <w:r w:rsidRPr="003E2821">
                <w:rPr>
                  <w:rStyle w:val="Hyperlink"/>
                  <w:sz w:val="18"/>
                  <w:szCs w:val="18"/>
                </w:rPr>
                <w:t>http://www.who.int/diagnostics_laboratory/evaluations/pq-list/hiv-vrl/160902_amended_public_report_0226_032_00_alere_hiv_detect_v3.pdf?ua=1</w:t>
              </w:r>
            </w:hyperlink>
            <w:r>
              <w:rPr>
                <w:sz w:val="18"/>
                <w:szCs w:val="18"/>
              </w:rPr>
              <w:t>)</w:t>
            </w:r>
          </w:p>
          <w:p w14:paraId="5A06462D" w14:textId="77777777" w:rsidR="00505595" w:rsidRDefault="00505595" w:rsidP="000B497A">
            <w:pPr>
              <w:pStyle w:val="ListParagraph"/>
              <w:numPr>
                <w:ilvl w:val="0"/>
                <w:numId w:val="4"/>
              </w:numPr>
              <w:tabs>
                <w:tab w:val="left" w:pos="6420"/>
              </w:tabs>
              <w:ind w:left="522" w:hanging="270"/>
              <w:rPr>
                <w:sz w:val="18"/>
                <w:szCs w:val="18"/>
              </w:rPr>
            </w:pPr>
            <w:r w:rsidRPr="008D3CAD">
              <w:rPr>
                <w:sz w:val="18"/>
                <w:szCs w:val="18"/>
              </w:rPr>
              <w:t>CE-IVD Mark</w:t>
            </w:r>
          </w:p>
          <w:p w14:paraId="3DBF2342" w14:textId="77777777" w:rsidR="00505595" w:rsidRPr="009766F5" w:rsidRDefault="00505595" w:rsidP="000B497A">
            <w:pPr>
              <w:tabs>
                <w:tab w:val="left" w:pos="6420"/>
              </w:tabs>
              <w:ind w:left="522"/>
              <w:rPr>
                <w:sz w:val="18"/>
                <w:szCs w:val="18"/>
              </w:rPr>
            </w:pPr>
            <w:r>
              <w:rPr>
                <w:sz w:val="18"/>
                <w:szCs w:val="18"/>
              </w:rPr>
              <w:t>(</w:t>
            </w:r>
            <w:hyperlink r:id="rId11" w:history="1">
              <w:r w:rsidRPr="00775C6D">
                <w:rPr>
                  <w:rStyle w:val="Hyperlink"/>
                  <w:sz w:val="18"/>
                  <w:szCs w:val="18"/>
                </w:rPr>
                <w:t>http://news.alere.com/~/media/Files/A/Alere-Newsroom-V2/press-release/Alere_q_Detect_CE_IVD_Mark_3_2_2015_FINAL4.pdf</w:t>
              </w:r>
            </w:hyperlink>
            <w:r>
              <w:rPr>
                <w:sz w:val="18"/>
                <w:szCs w:val="18"/>
              </w:rPr>
              <w:t xml:space="preserve">) </w:t>
            </w:r>
          </w:p>
          <w:p w14:paraId="68B87EEE" w14:textId="77777777" w:rsidR="00505595" w:rsidRPr="004C5A06" w:rsidRDefault="00505595" w:rsidP="000B497A">
            <w:pPr>
              <w:tabs>
                <w:tab w:val="left" w:pos="6420"/>
              </w:tabs>
              <w:rPr>
                <w:sz w:val="18"/>
                <w:szCs w:val="18"/>
              </w:rPr>
            </w:pPr>
          </w:p>
        </w:tc>
        <w:tc>
          <w:tcPr>
            <w:tcW w:w="4410" w:type="dxa"/>
          </w:tcPr>
          <w:p w14:paraId="08EA5624" w14:textId="77777777" w:rsidR="00505595" w:rsidRDefault="00505595" w:rsidP="000B497A">
            <w:pPr>
              <w:tabs>
                <w:tab w:val="left" w:pos="6420"/>
              </w:tabs>
              <w:rPr>
                <w:sz w:val="18"/>
                <w:szCs w:val="18"/>
              </w:rPr>
            </w:pPr>
            <w:r w:rsidRPr="00C032A9">
              <w:rPr>
                <w:sz w:val="18"/>
                <w:szCs w:val="18"/>
              </w:rPr>
              <w:t>Samba II HIV-1 Qual (EID)</w:t>
            </w:r>
            <w:r>
              <w:rPr>
                <w:sz w:val="18"/>
                <w:szCs w:val="18"/>
              </w:rPr>
              <w:t>:</w:t>
            </w:r>
          </w:p>
          <w:p w14:paraId="20F76937" w14:textId="77777777" w:rsidR="00505595" w:rsidRDefault="00505595" w:rsidP="000B497A">
            <w:pPr>
              <w:pStyle w:val="ListParagraph"/>
              <w:numPr>
                <w:ilvl w:val="0"/>
                <w:numId w:val="4"/>
              </w:numPr>
              <w:tabs>
                <w:tab w:val="left" w:pos="6420"/>
              </w:tabs>
              <w:ind w:left="522" w:hanging="270"/>
              <w:rPr>
                <w:sz w:val="18"/>
                <w:szCs w:val="18"/>
              </w:rPr>
            </w:pPr>
            <w:r w:rsidRPr="008D3CAD">
              <w:rPr>
                <w:sz w:val="18"/>
                <w:szCs w:val="18"/>
              </w:rPr>
              <w:t>CE-IVD Mark</w:t>
            </w:r>
          </w:p>
          <w:p w14:paraId="4E8C170E" w14:textId="77777777" w:rsidR="00505595" w:rsidRPr="00B85C75" w:rsidRDefault="00505595" w:rsidP="000B497A">
            <w:pPr>
              <w:tabs>
                <w:tab w:val="left" w:pos="6420"/>
              </w:tabs>
              <w:ind w:left="522"/>
              <w:rPr>
                <w:sz w:val="18"/>
                <w:szCs w:val="18"/>
              </w:rPr>
            </w:pPr>
          </w:p>
        </w:tc>
      </w:tr>
    </w:tbl>
    <w:p w14:paraId="49B63991" w14:textId="2D38AD86" w:rsidR="00AF06B7" w:rsidRPr="000010B7" w:rsidRDefault="000E5836" w:rsidP="008E021B">
      <w:pPr>
        <w:tabs>
          <w:tab w:val="left" w:pos="6420"/>
        </w:tabs>
        <w:ind w:left="-180" w:hanging="90"/>
        <w:rPr>
          <w:b/>
          <w:sz w:val="28"/>
        </w:rPr>
      </w:pPr>
      <w:r w:rsidRPr="007D32FD">
        <w:rPr>
          <w:sz w:val="20"/>
          <w:szCs w:val="20"/>
        </w:rPr>
        <w:t xml:space="preserve">*Note: All platforms procured by EGPAF will include </w:t>
      </w:r>
      <w:r w:rsidR="008E021B" w:rsidRPr="007D32FD">
        <w:rPr>
          <w:sz w:val="20"/>
          <w:szCs w:val="20"/>
        </w:rPr>
        <w:t xml:space="preserve">an extended warranty that ensures service and maintenance coverage of the instrument by the manufacturer for </w:t>
      </w:r>
      <w:r w:rsidR="00146905" w:rsidRPr="007D32FD">
        <w:rPr>
          <w:sz w:val="20"/>
          <w:szCs w:val="20"/>
        </w:rPr>
        <w:t>five (</w:t>
      </w:r>
      <w:r w:rsidR="008E021B" w:rsidRPr="007D32FD">
        <w:rPr>
          <w:sz w:val="20"/>
          <w:szCs w:val="20"/>
        </w:rPr>
        <w:t>5</w:t>
      </w:r>
      <w:r w:rsidR="00146905" w:rsidRPr="007D32FD">
        <w:rPr>
          <w:sz w:val="20"/>
          <w:szCs w:val="20"/>
        </w:rPr>
        <w:t>)</w:t>
      </w:r>
      <w:r w:rsidR="008E021B" w:rsidRPr="007D32FD">
        <w:rPr>
          <w:sz w:val="20"/>
          <w:szCs w:val="20"/>
        </w:rPr>
        <w:t xml:space="preserve"> years from the date of installation</w:t>
      </w:r>
      <w:r w:rsidR="00146905" w:rsidRPr="007D32FD">
        <w:rPr>
          <w:sz w:val="20"/>
          <w:szCs w:val="20"/>
        </w:rPr>
        <w:t xml:space="preserve"> of the platform</w:t>
      </w:r>
      <w:r w:rsidR="008E021B" w:rsidRPr="007D32FD">
        <w:rPr>
          <w:sz w:val="20"/>
          <w:szCs w:val="20"/>
        </w:rPr>
        <w:t>. Please contact Esther Turunga for information about the terms of the service and maintenance agreement</w:t>
      </w:r>
      <w:r w:rsidR="00146905" w:rsidRPr="007D32FD">
        <w:rPr>
          <w:sz w:val="20"/>
          <w:szCs w:val="20"/>
        </w:rPr>
        <w:t>s</w:t>
      </w:r>
      <w:r w:rsidR="008E021B" w:rsidRPr="007D32FD">
        <w:rPr>
          <w:sz w:val="20"/>
          <w:szCs w:val="20"/>
        </w:rPr>
        <w:t xml:space="preserve"> (</w:t>
      </w:r>
      <w:hyperlink r:id="rId12" w:history="1">
        <w:r w:rsidR="008E021B" w:rsidRPr="007D32FD">
          <w:rPr>
            <w:rStyle w:val="Hyperlink"/>
            <w:sz w:val="20"/>
            <w:szCs w:val="20"/>
          </w:rPr>
          <w:t>eturunga@pedaids.org</w:t>
        </w:r>
      </w:hyperlink>
      <w:r w:rsidR="008E021B" w:rsidRPr="007D32FD">
        <w:rPr>
          <w:sz w:val="20"/>
          <w:szCs w:val="20"/>
        </w:rPr>
        <w:t>)</w:t>
      </w:r>
      <w:r w:rsidR="007D32FD">
        <w:rPr>
          <w:sz w:val="20"/>
          <w:szCs w:val="20"/>
        </w:rPr>
        <w:t>.</w:t>
      </w:r>
      <w:r w:rsidR="008E021B">
        <w:rPr>
          <w:sz w:val="20"/>
          <w:szCs w:val="20"/>
        </w:rPr>
        <w:t xml:space="preserve"> </w:t>
      </w:r>
    </w:p>
    <w:p w14:paraId="13D78842" w14:textId="77777777" w:rsidR="008E021B" w:rsidRDefault="008E021B" w:rsidP="000010B7">
      <w:pPr>
        <w:tabs>
          <w:tab w:val="left" w:pos="6420"/>
        </w:tabs>
        <w:rPr>
          <w:b/>
        </w:rPr>
      </w:pPr>
    </w:p>
    <w:p w14:paraId="6ECB5C18" w14:textId="49924397" w:rsidR="000010B7" w:rsidRPr="006E146A" w:rsidRDefault="00613A8C" w:rsidP="008E021B">
      <w:pPr>
        <w:tabs>
          <w:tab w:val="left" w:pos="6420"/>
        </w:tabs>
        <w:ind w:left="-180"/>
        <w:rPr>
          <w:b/>
        </w:rPr>
      </w:pPr>
      <w:r w:rsidRPr="006E146A">
        <w:rPr>
          <w:b/>
        </w:rPr>
        <w:t>For more information, please contact Jeff Le</w:t>
      </w:r>
      <w:r w:rsidR="006E146A">
        <w:rPr>
          <w:b/>
        </w:rPr>
        <w:t>maire, Diagnostic Advisor, EGPAF</w:t>
      </w:r>
      <w:r w:rsidRPr="006E146A">
        <w:rPr>
          <w:b/>
        </w:rPr>
        <w:t>, Geneva (</w:t>
      </w:r>
      <w:hyperlink r:id="rId13" w:history="1">
        <w:r w:rsidRPr="006E146A">
          <w:rPr>
            <w:rStyle w:val="Hyperlink"/>
            <w:b/>
          </w:rPr>
          <w:t>jlemaire@pedaids.org</w:t>
        </w:r>
      </w:hyperlink>
      <w:r w:rsidRPr="006E146A">
        <w:rPr>
          <w:b/>
        </w:rPr>
        <w:t xml:space="preserve">) </w:t>
      </w:r>
    </w:p>
    <w:sectPr w:rsidR="000010B7" w:rsidRPr="006E146A" w:rsidSect="008E021B">
      <w:footerReference w:type="default" r:id="rId14"/>
      <w:pgSz w:w="16839" w:h="11907" w:orient="landscape" w:code="9"/>
      <w:pgMar w:top="1296" w:right="1440" w:bottom="1296"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01E9E" w14:textId="77777777" w:rsidR="004E7FB5" w:rsidRDefault="004E7FB5" w:rsidP="00C67660">
      <w:r>
        <w:separator/>
      </w:r>
    </w:p>
  </w:endnote>
  <w:endnote w:type="continuationSeparator" w:id="0">
    <w:p w14:paraId="076E443B" w14:textId="77777777" w:rsidR="004E7FB5" w:rsidRDefault="004E7FB5" w:rsidP="00C6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218804"/>
      <w:docPartObj>
        <w:docPartGallery w:val="Page Numbers (Bottom of Page)"/>
        <w:docPartUnique/>
      </w:docPartObj>
    </w:sdtPr>
    <w:sdtEndPr>
      <w:rPr>
        <w:noProof/>
      </w:rPr>
    </w:sdtEndPr>
    <w:sdtContent>
      <w:p w14:paraId="06CD6F45" w14:textId="2EDFCA54" w:rsidR="00C67660" w:rsidRDefault="00C67660">
        <w:pPr>
          <w:pStyle w:val="Footer"/>
          <w:jc w:val="right"/>
        </w:pPr>
        <w:r>
          <w:fldChar w:fldCharType="begin"/>
        </w:r>
        <w:r>
          <w:instrText xml:space="preserve"> PAGE   \* MERGEFORMAT </w:instrText>
        </w:r>
        <w:r>
          <w:fldChar w:fldCharType="separate"/>
        </w:r>
        <w:r w:rsidR="006A0988">
          <w:rPr>
            <w:noProof/>
          </w:rPr>
          <w:t>1</w:t>
        </w:r>
        <w:r>
          <w:rPr>
            <w:noProof/>
          </w:rPr>
          <w:fldChar w:fldCharType="end"/>
        </w:r>
      </w:p>
    </w:sdtContent>
  </w:sdt>
  <w:p w14:paraId="42AEE567" w14:textId="77777777" w:rsidR="00C67660" w:rsidRDefault="00C67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461D3" w14:textId="77777777" w:rsidR="004E7FB5" w:rsidRDefault="004E7FB5" w:rsidP="00C67660">
      <w:r>
        <w:separator/>
      </w:r>
    </w:p>
  </w:footnote>
  <w:footnote w:type="continuationSeparator" w:id="0">
    <w:p w14:paraId="41490144" w14:textId="77777777" w:rsidR="004E7FB5" w:rsidRDefault="004E7FB5" w:rsidP="00C67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16DF"/>
    <w:multiLevelType w:val="hybridMultilevel"/>
    <w:tmpl w:val="1902C15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3E6814"/>
    <w:multiLevelType w:val="hybridMultilevel"/>
    <w:tmpl w:val="A5A2A74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527E1"/>
    <w:multiLevelType w:val="hybridMultilevel"/>
    <w:tmpl w:val="53C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07BF"/>
    <w:multiLevelType w:val="hybridMultilevel"/>
    <w:tmpl w:val="941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E135C"/>
    <w:multiLevelType w:val="hybridMultilevel"/>
    <w:tmpl w:val="C008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CC"/>
    <w:rsid w:val="000010B7"/>
    <w:rsid w:val="000053AD"/>
    <w:rsid w:val="00014C21"/>
    <w:rsid w:val="00022D14"/>
    <w:rsid w:val="0002714F"/>
    <w:rsid w:val="000355FE"/>
    <w:rsid w:val="00045A12"/>
    <w:rsid w:val="00063274"/>
    <w:rsid w:val="0006708C"/>
    <w:rsid w:val="00067EE1"/>
    <w:rsid w:val="00082C8A"/>
    <w:rsid w:val="00082D1E"/>
    <w:rsid w:val="000A3675"/>
    <w:rsid w:val="000C20D6"/>
    <w:rsid w:val="000D6BFA"/>
    <w:rsid w:val="000E5836"/>
    <w:rsid w:val="000F59E6"/>
    <w:rsid w:val="00114D72"/>
    <w:rsid w:val="00121D33"/>
    <w:rsid w:val="00125D40"/>
    <w:rsid w:val="00135FDF"/>
    <w:rsid w:val="001371E7"/>
    <w:rsid w:val="00146905"/>
    <w:rsid w:val="00146F0E"/>
    <w:rsid w:val="00157FDE"/>
    <w:rsid w:val="001A00F5"/>
    <w:rsid w:val="001E0DA0"/>
    <w:rsid w:val="001E5F68"/>
    <w:rsid w:val="001E62B1"/>
    <w:rsid w:val="0020100D"/>
    <w:rsid w:val="00202301"/>
    <w:rsid w:val="0025156F"/>
    <w:rsid w:val="002719C0"/>
    <w:rsid w:val="00286A8C"/>
    <w:rsid w:val="002B01BD"/>
    <w:rsid w:val="002B4F14"/>
    <w:rsid w:val="002D4CF9"/>
    <w:rsid w:val="002D5408"/>
    <w:rsid w:val="0031029F"/>
    <w:rsid w:val="00310591"/>
    <w:rsid w:val="00317079"/>
    <w:rsid w:val="003D7599"/>
    <w:rsid w:val="003E3FAB"/>
    <w:rsid w:val="003E45BC"/>
    <w:rsid w:val="003F1B6B"/>
    <w:rsid w:val="003F70B8"/>
    <w:rsid w:val="00426266"/>
    <w:rsid w:val="00433FA2"/>
    <w:rsid w:val="00472474"/>
    <w:rsid w:val="004839D6"/>
    <w:rsid w:val="004B3B18"/>
    <w:rsid w:val="004C5A06"/>
    <w:rsid w:val="004C5F74"/>
    <w:rsid w:val="004D25ED"/>
    <w:rsid w:val="004E7FB5"/>
    <w:rsid w:val="004F037B"/>
    <w:rsid w:val="004F2B14"/>
    <w:rsid w:val="00505595"/>
    <w:rsid w:val="00553A09"/>
    <w:rsid w:val="00565CBD"/>
    <w:rsid w:val="00591591"/>
    <w:rsid w:val="00592621"/>
    <w:rsid w:val="005B2172"/>
    <w:rsid w:val="005C57C6"/>
    <w:rsid w:val="005E0CFB"/>
    <w:rsid w:val="005F143E"/>
    <w:rsid w:val="005F521D"/>
    <w:rsid w:val="005F6545"/>
    <w:rsid w:val="00613A8C"/>
    <w:rsid w:val="00620EAB"/>
    <w:rsid w:val="00632CA2"/>
    <w:rsid w:val="00642645"/>
    <w:rsid w:val="006A0988"/>
    <w:rsid w:val="006A2636"/>
    <w:rsid w:val="006C6953"/>
    <w:rsid w:val="006E146A"/>
    <w:rsid w:val="006F35E0"/>
    <w:rsid w:val="00707F73"/>
    <w:rsid w:val="0072162A"/>
    <w:rsid w:val="00772777"/>
    <w:rsid w:val="00780597"/>
    <w:rsid w:val="0079327F"/>
    <w:rsid w:val="007966DF"/>
    <w:rsid w:val="007B783E"/>
    <w:rsid w:val="007D32FD"/>
    <w:rsid w:val="007E5E7C"/>
    <w:rsid w:val="00831A08"/>
    <w:rsid w:val="00833F81"/>
    <w:rsid w:val="008354E4"/>
    <w:rsid w:val="0083669D"/>
    <w:rsid w:val="008557D1"/>
    <w:rsid w:val="008805AC"/>
    <w:rsid w:val="008A0CD9"/>
    <w:rsid w:val="008B08E9"/>
    <w:rsid w:val="008B414F"/>
    <w:rsid w:val="008B6A17"/>
    <w:rsid w:val="008D3CAD"/>
    <w:rsid w:val="008E021B"/>
    <w:rsid w:val="008E0AB5"/>
    <w:rsid w:val="008F5D72"/>
    <w:rsid w:val="00900A33"/>
    <w:rsid w:val="009766F5"/>
    <w:rsid w:val="0099109D"/>
    <w:rsid w:val="009B694C"/>
    <w:rsid w:val="009E2CA8"/>
    <w:rsid w:val="00A06596"/>
    <w:rsid w:val="00A1742C"/>
    <w:rsid w:val="00A30086"/>
    <w:rsid w:val="00A30E01"/>
    <w:rsid w:val="00A31026"/>
    <w:rsid w:val="00A81551"/>
    <w:rsid w:val="00A97475"/>
    <w:rsid w:val="00AA6480"/>
    <w:rsid w:val="00AC36E5"/>
    <w:rsid w:val="00AF06B7"/>
    <w:rsid w:val="00AF2812"/>
    <w:rsid w:val="00AF5353"/>
    <w:rsid w:val="00B00056"/>
    <w:rsid w:val="00B20485"/>
    <w:rsid w:val="00B31F5C"/>
    <w:rsid w:val="00B42542"/>
    <w:rsid w:val="00B601FA"/>
    <w:rsid w:val="00B70CA5"/>
    <w:rsid w:val="00B762A0"/>
    <w:rsid w:val="00B77236"/>
    <w:rsid w:val="00B85828"/>
    <w:rsid w:val="00B85C75"/>
    <w:rsid w:val="00B867C4"/>
    <w:rsid w:val="00B9635B"/>
    <w:rsid w:val="00BF4EE7"/>
    <w:rsid w:val="00C032A9"/>
    <w:rsid w:val="00C03CD8"/>
    <w:rsid w:val="00C06722"/>
    <w:rsid w:val="00C37143"/>
    <w:rsid w:val="00C53B1D"/>
    <w:rsid w:val="00C55876"/>
    <w:rsid w:val="00C66821"/>
    <w:rsid w:val="00C67660"/>
    <w:rsid w:val="00C95C94"/>
    <w:rsid w:val="00CA747A"/>
    <w:rsid w:val="00CB2143"/>
    <w:rsid w:val="00CF3E8B"/>
    <w:rsid w:val="00D00285"/>
    <w:rsid w:val="00D14369"/>
    <w:rsid w:val="00D67B1A"/>
    <w:rsid w:val="00D7438D"/>
    <w:rsid w:val="00DB4869"/>
    <w:rsid w:val="00DD26DD"/>
    <w:rsid w:val="00DD6EC5"/>
    <w:rsid w:val="00E15933"/>
    <w:rsid w:val="00E21D33"/>
    <w:rsid w:val="00E30F86"/>
    <w:rsid w:val="00E466A6"/>
    <w:rsid w:val="00E52533"/>
    <w:rsid w:val="00E53310"/>
    <w:rsid w:val="00EC5545"/>
    <w:rsid w:val="00EE0DEF"/>
    <w:rsid w:val="00F3471D"/>
    <w:rsid w:val="00F552CC"/>
    <w:rsid w:val="00F6639D"/>
    <w:rsid w:val="00F96FCB"/>
    <w:rsid w:val="00FC25F3"/>
    <w:rsid w:val="00FD7D6C"/>
    <w:rsid w:val="00FF4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ECFAF"/>
  <w15:docId w15:val="{3344913F-4C7E-49F6-86FB-5C4B4DDE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5BC"/>
    <w:pPr>
      <w:ind w:left="720"/>
      <w:contextualSpacing/>
    </w:pPr>
  </w:style>
  <w:style w:type="paragraph" w:customStyle="1" w:styleId="Default">
    <w:name w:val="Default"/>
    <w:rsid w:val="00AC36E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557D1"/>
    <w:rPr>
      <w:sz w:val="16"/>
      <w:szCs w:val="16"/>
    </w:rPr>
  </w:style>
  <w:style w:type="paragraph" w:styleId="CommentText">
    <w:name w:val="annotation text"/>
    <w:basedOn w:val="Normal"/>
    <w:link w:val="CommentTextChar"/>
    <w:uiPriority w:val="99"/>
    <w:semiHidden/>
    <w:unhideWhenUsed/>
    <w:rsid w:val="008557D1"/>
    <w:rPr>
      <w:sz w:val="20"/>
      <w:szCs w:val="20"/>
    </w:rPr>
  </w:style>
  <w:style w:type="character" w:customStyle="1" w:styleId="CommentTextChar">
    <w:name w:val="Comment Text Char"/>
    <w:basedOn w:val="DefaultParagraphFont"/>
    <w:link w:val="CommentText"/>
    <w:uiPriority w:val="99"/>
    <w:semiHidden/>
    <w:rsid w:val="008557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57D1"/>
    <w:rPr>
      <w:b/>
      <w:bCs/>
    </w:rPr>
  </w:style>
  <w:style w:type="character" w:customStyle="1" w:styleId="CommentSubjectChar">
    <w:name w:val="Comment Subject Char"/>
    <w:basedOn w:val="CommentTextChar"/>
    <w:link w:val="CommentSubject"/>
    <w:uiPriority w:val="99"/>
    <w:semiHidden/>
    <w:rsid w:val="008557D1"/>
    <w:rPr>
      <w:rFonts w:eastAsiaTheme="minorEastAsia"/>
      <w:b/>
      <w:bCs/>
      <w:sz w:val="20"/>
      <w:szCs w:val="20"/>
    </w:rPr>
  </w:style>
  <w:style w:type="paragraph" w:styleId="BalloonText">
    <w:name w:val="Balloon Text"/>
    <w:basedOn w:val="Normal"/>
    <w:link w:val="BalloonTextChar"/>
    <w:uiPriority w:val="99"/>
    <w:semiHidden/>
    <w:unhideWhenUsed/>
    <w:rsid w:val="00855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7D1"/>
    <w:rPr>
      <w:rFonts w:ascii="Segoe UI" w:eastAsiaTheme="minorEastAsia" w:hAnsi="Segoe UI" w:cs="Segoe UI"/>
      <w:sz w:val="18"/>
      <w:szCs w:val="18"/>
    </w:rPr>
  </w:style>
  <w:style w:type="character" w:styleId="Hyperlink">
    <w:name w:val="Hyperlink"/>
    <w:basedOn w:val="DefaultParagraphFont"/>
    <w:uiPriority w:val="99"/>
    <w:unhideWhenUsed/>
    <w:rsid w:val="00613A8C"/>
    <w:rPr>
      <w:color w:val="0563C1" w:themeColor="hyperlink"/>
      <w:u w:val="single"/>
    </w:rPr>
  </w:style>
  <w:style w:type="character" w:styleId="FollowedHyperlink">
    <w:name w:val="FollowedHyperlink"/>
    <w:basedOn w:val="DefaultParagraphFont"/>
    <w:uiPriority w:val="99"/>
    <w:semiHidden/>
    <w:unhideWhenUsed/>
    <w:rsid w:val="00433FA2"/>
    <w:rPr>
      <w:color w:val="954F72" w:themeColor="followedHyperlink"/>
      <w:u w:val="single"/>
    </w:rPr>
  </w:style>
  <w:style w:type="paragraph" w:styleId="Header">
    <w:name w:val="header"/>
    <w:basedOn w:val="Normal"/>
    <w:link w:val="HeaderChar"/>
    <w:uiPriority w:val="99"/>
    <w:unhideWhenUsed/>
    <w:rsid w:val="00C67660"/>
    <w:pPr>
      <w:tabs>
        <w:tab w:val="center" w:pos="4680"/>
        <w:tab w:val="right" w:pos="9360"/>
      </w:tabs>
    </w:pPr>
  </w:style>
  <w:style w:type="character" w:customStyle="1" w:styleId="HeaderChar">
    <w:name w:val="Header Char"/>
    <w:basedOn w:val="DefaultParagraphFont"/>
    <w:link w:val="Header"/>
    <w:uiPriority w:val="99"/>
    <w:rsid w:val="00C67660"/>
    <w:rPr>
      <w:rFonts w:eastAsiaTheme="minorEastAsia"/>
      <w:sz w:val="24"/>
      <w:szCs w:val="24"/>
    </w:rPr>
  </w:style>
  <w:style w:type="paragraph" w:styleId="Footer">
    <w:name w:val="footer"/>
    <w:basedOn w:val="Normal"/>
    <w:link w:val="FooterChar"/>
    <w:uiPriority w:val="99"/>
    <w:unhideWhenUsed/>
    <w:rsid w:val="00C67660"/>
    <w:pPr>
      <w:tabs>
        <w:tab w:val="center" w:pos="4680"/>
        <w:tab w:val="right" w:pos="9360"/>
      </w:tabs>
    </w:pPr>
  </w:style>
  <w:style w:type="character" w:customStyle="1" w:styleId="FooterChar">
    <w:name w:val="Footer Char"/>
    <w:basedOn w:val="DefaultParagraphFont"/>
    <w:link w:val="Footer"/>
    <w:uiPriority w:val="99"/>
    <w:rsid w:val="00C6766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diagnostics_laboratory/evaluations/pq-list/hiv-vrl/160613PQPublicReport_0259-0700-00_XpertQualHIV_v2.pdf?ua=1" TargetMode="External"/><Relationship Id="rId13" Type="http://schemas.openxmlformats.org/officeDocument/2006/relationships/hyperlink" Target="mailto:jlemaire@pedai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urunga@pedai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lere.com/~/media/Files/A/Alere-Newsroom-V2/press-release/Alere_q_Detect_CE_IVD_Mark_3_2_2015_FINAL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diagnostics_laboratory/evaluations/pq-list/hiv-vrl/160902_amended_public_report_0226_032_00_alere_hiv_detect_v3.pdf?ua=1" TargetMode="External"/><Relationship Id="rId4" Type="http://schemas.openxmlformats.org/officeDocument/2006/relationships/settings" Target="settings.xml"/><Relationship Id="rId9" Type="http://schemas.openxmlformats.org/officeDocument/2006/relationships/hyperlink" Target="http://ir.cepheid.com/releasedetail.cfm?releaseid=90687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C22F-2870-437D-9877-3C39D0DD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Alban</dc:creator>
  <cp:keywords/>
  <dc:description/>
  <cp:lastModifiedBy>Rebecca Bailey</cp:lastModifiedBy>
  <cp:revision>4</cp:revision>
  <dcterms:created xsi:type="dcterms:W3CDTF">2017-03-01T11:14:00Z</dcterms:created>
  <dcterms:modified xsi:type="dcterms:W3CDTF">2017-03-01T11:16:00Z</dcterms:modified>
</cp:coreProperties>
</file>